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96E3E" w14:textId="18E27A2E" w:rsidR="00BA366E" w:rsidRDefault="00BA366E" w:rsidP="00BA366E">
      <w:pPr>
        <w:pStyle w:val="CRCoverPage"/>
        <w:tabs>
          <w:tab w:val="right" w:pos="9639"/>
        </w:tabs>
        <w:spacing w:after="0"/>
        <w:rPr>
          <w:b/>
          <w:noProof/>
          <w:sz w:val="24"/>
        </w:rPr>
      </w:pPr>
      <w:r w:rsidRPr="00FB346E">
        <w:rPr>
          <w:b/>
          <w:noProof/>
          <w:sz w:val="24"/>
        </w:rPr>
        <w:t>3GPP TSG-RAN4 Meeting #1</w:t>
      </w:r>
      <w:r>
        <w:rPr>
          <w:b/>
          <w:noProof/>
          <w:sz w:val="24"/>
        </w:rPr>
        <w:t>12</w:t>
      </w:r>
      <w:r w:rsidRPr="0033027D">
        <w:rPr>
          <w:b/>
          <w:noProof/>
          <w:sz w:val="24"/>
        </w:rPr>
        <w:tab/>
      </w:r>
      <w:r w:rsidRPr="007B480F">
        <w:rPr>
          <w:b/>
          <w:noProof/>
          <w:sz w:val="24"/>
        </w:rPr>
        <w:t>R4-24</w:t>
      </w:r>
      <w:r w:rsidR="00C478AC">
        <w:rPr>
          <w:b/>
          <w:noProof/>
          <w:sz w:val="24"/>
        </w:rPr>
        <w:t>11522</w:t>
      </w:r>
    </w:p>
    <w:p w14:paraId="2E0410B7" w14:textId="11C6F2CE" w:rsidR="004D7E41" w:rsidRPr="00B144E9" w:rsidRDefault="00BA366E" w:rsidP="00BA366E">
      <w:pPr>
        <w:rPr>
          <w:rFonts w:ascii="Arial" w:hAnsi="Arial" w:cs="Arial"/>
          <w:b/>
          <w:noProof/>
          <w:sz w:val="24"/>
          <w:szCs w:val="24"/>
        </w:rPr>
      </w:pPr>
      <w:r>
        <w:rPr>
          <w:rFonts w:ascii="Arial" w:eastAsia="SimSun" w:hAnsi="Arial" w:cs="Arial"/>
          <w:b/>
          <w:sz w:val="24"/>
          <w:szCs w:val="24"/>
          <w:lang w:eastAsia="zh-CN"/>
        </w:rPr>
        <w:t>Maastricht</w:t>
      </w:r>
      <w:r w:rsidRPr="0052514D">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Pr="0052514D">
        <w:rPr>
          <w:rFonts w:ascii="Arial" w:eastAsia="SimSun" w:hAnsi="Arial" w:cs="Arial"/>
          <w:b/>
          <w:sz w:val="24"/>
          <w:szCs w:val="24"/>
          <w:lang w:eastAsia="zh-CN"/>
        </w:rPr>
        <w:t xml:space="preserve">, </w:t>
      </w:r>
      <w:r>
        <w:rPr>
          <w:rFonts w:ascii="Arial" w:eastAsia="SimSun" w:hAnsi="Arial" w:cs="Arial"/>
          <w:b/>
          <w:sz w:val="24"/>
          <w:szCs w:val="24"/>
          <w:lang w:eastAsia="zh-CN"/>
        </w:rPr>
        <w:t>21</w:t>
      </w:r>
      <w:r w:rsidRPr="0052514D">
        <w:rPr>
          <w:rFonts w:ascii="Arial" w:eastAsia="SimSun" w:hAnsi="Arial" w:cs="Arial"/>
          <w:b/>
          <w:sz w:val="24"/>
          <w:szCs w:val="24"/>
          <w:vertAlign w:val="superscript"/>
          <w:lang w:eastAsia="zh-CN"/>
        </w:rPr>
        <w:t>st</w:t>
      </w:r>
      <w:r w:rsidRPr="0052514D">
        <w:rPr>
          <w:rFonts w:ascii="Arial" w:eastAsia="SimSun" w:hAnsi="Arial" w:cs="Arial"/>
          <w:b/>
          <w:sz w:val="24"/>
          <w:szCs w:val="24"/>
          <w:lang w:eastAsia="zh-CN"/>
        </w:rPr>
        <w:t xml:space="preserve"> – 2</w:t>
      </w:r>
      <w:r>
        <w:rPr>
          <w:rFonts w:ascii="Arial" w:eastAsia="SimSun" w:hAnsi="Arial" w:cs="Arial"/>
          <w:b/>
          <w:sz w:val="24"/>
          <w:szCs w:val="24"/>
          <w:lang w:eastAsia="zh-CN"/>
        </w:rPr>
        <w:t>5</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52514D">
        <w:rPr>
          <w:rFonts w:ascii="Arial" w:eastAsia="SimSun" w:hAnsi="Arial" w:cs="Arial"/>
          <w:b/>
          <w:sz w:val="24"/>
          <w:szCs w:val="24"/>
          <w:lang w:eastAsia="zh-CN"/>
        </w:rPr>
        <w:t>, 2024</w:t>
      </w:r>
      <w:r>
        <w:rPr>
          <w:rFonts w:cs="Arial"/>
          <w:b/>
          <w:sz w:val="24"/>
        </w:rPr>
        <w:br/>
      </w:r>
    </w:p>
    <w:p w14:paraId="6D01FBCB" w14:textId="3ECA1520"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A50B3C">
        <w:rPr>
          <w:rFonts w:ascii="Arial" w:hAnsi="Arial" w:cs="Arial"/>
          <w:b/>
        </w:rPr>
        <w:t>co-existence</w:t>
      </w:r>
      <w:r w:rsidRPr="00E67FB1">
        <w:rPr>
          <w:rFonts w:ascii="Arial" w:hAnsi="Arial" w:cs="Arial"/>
          <w:b/>
        </w:rPr>
        <w:t xml:space="preserve"> parameters for </w:t>
      </w:r>
      <w:r w:rsidR="001B5B2C">
        <w:rPr>
          <w:rFonts w:ascii="Arial" w:hAnsi="Arial" w:cs="Arial"/>
          <w:b/>
        </w:rPr>
        <w:t>1480</w:t>
      </w:r>
      <w:r w:rsidR="00CE6EE0">
        <w:rPr>
          <w:rFonts w:ascii="Arial" w:hAnsi="Arial" w:cs="Arial"/>
          <w:b/>
        </w:rPr>
        <w:t>0</w:t>
      </w:r>
      <w:r>
        <w:rPr>
          <w:rFonts w:ascii="Arial" w:hAnsi="Arial" w:cs="Arial"/>
          <w:b/>
        </w:rPr>
        <w:t xml:space="preserve"> - </w:t>
      </w:r>
      <w:r w:rsidR="003A10AA">
        <w:rPr>
          <w:rFonts w:ascii="Arial" w:hAnsi="Arial" w:cs="Arial"/>
          <w:b/>
        </w:rPr>
        <w:t>15350</w:t>
      </w:r>
      <w:r w:rsidRPr="00E67FB1">
        <w:rPr>
          <w:rFonts w:ascii="Arial" w:hAnsi="Arial" w:cs="Arial"/>
          <w:b/>
        </w:rPr>
        <w:t xml:space="preserve"> MHz</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12CF4DB2"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DA6E92">
        <w:rPr>
          <w:rFonts w:ascii="Arial" w:hAnsi="Arial" w:cs="Arial"/>
          <w:b/>
        </w:rPr>
        <w:t>8</w:t>
      </w:r>
      <w:r>
        <w:rPr>
          <w:rFonts w:ascii="Arial" w:hAnsi="Arial" w:cs="Arial"/>
          <w:b/>
        </w:rPr>
        <w:t>.</w:t>
      </w:r>
      <w:r w:rsidR="00DA6E92">
        <w:rPr>
          <w:rFonts w:ascii="Arial" w:hAnsi="Arial" w:cs="Arial"/>
          <w:b/>
        </w:rPr>
        <w:t>2</w:t>
      </w:r>
      <w:r>
        <w:rPr>
          <w:rFonts w:ascii="Arial" w:hAnsi="Arial" w:cs="Arial"/>
          <w:b/>
        </w:rPr>
        <w:t>.4</w:t>
      </w:r>
      <w:r w:rsidR="00546B72">
        <w:rPr>
          <w:rFonts w:ascii="Arial" w:hAnsi="Arial" w:cs="Arial"/>
          <w:b/>
        </w:rPr>
        <w:t>.1</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69FE45B0" w14:textId="55842B00" w:rsidR="005758E6" w:rsidRDefault="005758E6" w:rsidP="00823087">
      <w:pPr>
        <w:jc w:val="both"/>
      </w:pPr>
      <w:r>
        <w:t xml:space="preserve">During RAN#103 plenary a new study item </w:t>
      </w:r>
      <w:r w:rsidRPr="004A7143">
        <w:t>on IMT parameters for 4400 to 4800 MHz, 7125 to 8400 MHz and 14800 to 15350 MHz</w:t>
      </w:r>
      <w:r>
        <w:t xml:space="preserve"> was approved [1]. In RAN4#11</w:t>
      </w:r>
      <w:r w:rsidR="00BA366E">
        <w:t>1</w:t>
      </w:r>
      <w:r>
        <w:t xml:space="preserve">, a WF was agreed in [2] where several agreements were captured for the 7125 – 8400 MHz and 14800 – 15350 MHz frequency range. In this contribution, we provide our </w:t>
      </w:r>
      <w:r w:rsidR="0085151E">
        <w:t xml:space="preserve">preliminary results and </w:t>
      </w:r>
      <w:r>
        <w:t xml:space="preserve">views on the different </w:t>
      </w:r>
      <w:r w:rsidR="0085151E">
        <w:t xml:space="preserve">system aspects, </w:t>
      </w:r>
      <w:r>
        <w:t>RF parameters for BS and UE items for the 14800 – 15350  MHz frequency range</w:t>
      </w:r>
      <w:r w:rsidR="0085151E">
        <w:t xml:space="preserve">. </w:t>
      </w:r>
    </w:p>
    <w:p w14:paraId="3F057274" w14:textId="049C98DC" w:rsidR="00AD616E" w:rsidRPr="000F117D" w:rsidRDefault="00993E9B" w:rsidP="000F117D">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r w:rsidR="00AD616E">
        <w:rPr>
          <w:lang w:eastAsia="ja-JP"/>
        </w:rPr>
        <w:t xml:space="preserve"> </w:t>
      </w:r>
      <w:r w:rsidR="001E310D">
        <w:rPr>
          <w:lang w:eastAsia="ja-JP"/>
        </w:rPr>
        <w:tab/>
      </w:r>
    </w:p>
    <w:p w14:paraId="3DF656A3" w14:textId="4C93B671" w:rsidR="002933E2" w:rsidRPr="002933E2" w:rsidRDefault="000F117D" w:rsidP="001E310D">
      <w:pPr>
        <w:pStyle w:val="Heading2"/>
        <w:rPr>
          <w:lang w:eastAsia="ja-JP"/>
        </w:rPr>
      </w:pPr>
      <w:r>
        <w:rPr>
          <w:lang w:eastAsia="ja-JP"/>
        </w:rPr>
        <w:t>2.1</w:t>
      </w:r>
      <w:r>
        <w:rPr>
          <w:lang w:eastAsia="ja-JP"/>
        </w:rPr>
        <w:tab/>
      </w:r>
      <w:r w:rsidR="002933E2">
        <w:rPr>
          <w:lang w:eastAsia="ja-JP"/>
        </w:rPr>
        <w:t xml:space="preserve">System parameters </w:t>
      </w:r>
    </w:p>
    <w:p w14:paraId="1C4B0FE4" w14:textId="1076BF7E" w:rsidR="00E94167" w:rsidRDefault="00E94167" w:rsidP="00823087">
      <w:pPr>
        <w:pStyle w:val="Heading3"/>
        <w:jc w:val="both"/>
        <w:rPr>
          <w:lang w:eastAsia="ja-JP"/>
        </w:rPr>
      </w:pPr>
      <w:r>
        <w:rPr>
          <w:lang w:eastAsia="ja-JP"/>
        </w:rPr>
        <w:t>2.</w:t>
      </w:r>
      <w:r w:rsidR="001E310D">
        <w:rPr>
          <w:lang w:eastAsia="ja-JP"/>
        </w:rPr>
        <w:t>2.</w:t>
      </w:r>
      <w:r>
        <w:rPr>
          <w:lang w:eastAsia="ja-JP"/>
        </w:rPr>
        <w:t>1</w:t>
      </w:r>
      <w:r>
        <w:rPr>
          <w:lang w:eastAsia="ja-JP"/>
        </w:rPr>
        <w:tab/>
        <w:t>Deployment scenarios</w:t>
      </w:r>
    </w:p>
    <w:p w14:paraId="6866FDDA" w14:textId="347F29FD" w:rsidR="00E94167" w:rsidRDefault="00E94167" w:rsidP="00823087">
      <w:pPr>
        <w:jc w:val="both"/>
        <w:rPr>
          <w:lang w:eastAsia="ja-JP"/>
        </w:rPr>
      </w:pPr>
      <w:r>
        <w:rPr>
          <w:lang w:eastAsia="ja-JP"/>
        </w:rPr>
        <w:t>In</w:t>
      </w:r>
      <w:r w:rsidR="002D334C">
        <w:rPr>
          <w:lang w:eastAsia="ja-JP"/>
        </w:rPr>
        <w:t xml:space="preserve"> [2], the following related to initial deployment scenarios was agreed: </w:t>
      </w:r>
    </w:p>
    <w:tbl>
      <w:tblPr>
        <w:tblStyle w:val="TableGrid"/>
        <w:tblW w:w="0" w:type="auto"/>
        <w:tblLook w:val="04A0" w:firstRow="1" w:lastRow="0" w:firstColumn="1" w:lastColumn="0" w:noHBand="0" w:noVBand="1"/>
      </w:tblPr>
      <w:tblGrid>
        <w:gridCol w:w="9622"/>
      </w:tblGrid>
      <w:tr w:rsidR="002D334C" w14:paraId="6E86D28D" w14:textId="77777777" w:rsidTr="002D334C">
        <w:tc>
          <w:tcPr>
            <w:tcW w:w="9622" w:type="dxa"/>
          </w:tcPr>
          <w:p w14:paraId="3B43DB91" w14:textId="77777777" w:rsidR="00AD616E" w:rsidRPr="00C2385C" w:rsidRDefault="00AD616E" w:rsidP="00AD616E">
            <w:pPr>
              <w:rPr>
                <w:rFonts w:cs="Arial"/>
              </w:rPr>
            </w:pPr>
            <w:r w:rsidRPr="00C2385C">
              <w:rPr>
                <w:rFonts w:cs="Arial"/>
                <w:b/>
                <w:u w:val="single"/>
              </w:rPr>
              <w:t>Issue 3-1: Simulation scenarios</w:t>
            </w:r>
          </w:p>
          <w:p w14:paraId="354B179A" w14:textId="77777777" w:rsidR="00AD616E" w:rsidRPr="00C2385C" w:rsidRDefault="00AD616E" w:rsidP="00AD616E">
            <w:pPr>
              <w:spacing w:after="120"/>
              <w:rPr>
                <w:rFonts w:cs="Arial"/>
                <w:b/>
                <w:bCs/>
                <w:lang w:eastAsia="zh-CN"/>
              </w:rPr>
            </w:pPr>
            <w:r w:rsidRPr="00C2385C">
              <w:rPr>
                <w:rFonts w:cs="Arial"/>
                <w:b/>
                <w:bCs/>
                <w:lang w:eastAsia="zh-CN"/>
              </w:rPr>
              <w:t>Agreement:</w:t>
            </w:r>
          </w:p>
          <w:p w14:paraId="1CD54531" w14:textId="77777777" w:rsidR="00AD616E" w:rsidRPr="00C2385C" w:rsidRDefault="00AD616E" w:rsidP="00AD616E">
            <w:pPr>
              <w:pStyle w:val="ListParagraph"/>
              <w:numPr>
                <w:ilvl w:val="0"/>
                <w:numId w:val="8"/>
              </w:numPr>
              <w:overflowPunct/>
              <w:autoSpaceDE/>
              <w:autoSpaceDN/>
              <w:adjustRightInd/>
              <w:spacing w:after="120" w:line="259" w:lineRule="auto"/>
              <w:textAlignment w:val="auto"/>
              <w:rPr>
                <w:rFonts w:ascii="Arial" w:hAnsi="Arial" w:cs="Arial"/>
                <w:lang w:eastAsia="zh-CN"/>
              </w:rPr>
            </w:pPr>
            <w:r w:rsidRPr="00C2385C">
              <w:rPr>
                <w:rFonts w:ascii="Arial" w:hAnsi="Arial" w:cs="Arial"/>
                <w:lang w:eastAsia="zh-CN"/>
              </w:rPr>
              <w:t>1</w:t>
            </w:r>
            <w:r w:rsidRPr="00C2385C">
              <w:rPr>
                <w:rFonts w:ascii="Arial" w:hAnsi="Arial" w:cs="Arial"/>
                <w:vertAlign w:val="superscript"/>
                <w:lang w:eastAsia="zh-CN"/>
              </w:rPr>
              <w:t>st</w:t>
            </w:r>
            <w:r w:rsidRPr="00C2385C">
              <w:rPr>
                <w:rFonts w:ascii="Arial" w:hAnsi="Arial" w:cs="Arial"/>
                <w:lang w:eastAsia="zh-CN"/>
              </w:rPr>
              <w:t xml:space="preserve"> priority urban macro</w:t>
            </w:r>
          </w:p>
          <w:p w14:paraId="3CCC1EE6" w14:textId="77777777" w:rsidR="00AD616E" w:rsidRPr="00C2385C" w:rsidRDefault="00AD616E" w:rsidP="00AD616E">
            <w:pPr>
              <w:pStyle w:val="ListParagraph"/>
              <w:numPr>
                <w:ilvl w:val="0"/>
                <w:numId w:val="8"/>
              </w:numPr>
              <w:overflowPunct/>
              <w:autoSpaceDE/>
              <w:autoSpaceDN/>
              <w:adjustRightInd/>
              <w:spacing w:after="120" w:line="259" w:lineRule="auto"/>
              <w:textAlignment w:val="auto"/>
              <w:rPr>
                <w:rFonts w:ascii="Arial" w:hAnsi="Arial" w:cs="Arial"/>
                <w:lang w:eastAsia="zh-CN"/>
              </w:rPr>
            </w:pPr>
            <w:r w:rsidRPr="00C2385C">
              <w:rPr>
                <w:rFonts w:ascii="Arial" w:hAnsi="Arial" w:cs="Arial"/>
                <w:lang w:eastAsia="zh-CN"/>
              </w:rPr>
              <w:t>2</w:t>
            </w:r>
            <w:r w:rsidRPr="00C2385C">
              <w:rPr>
                <w:rFonts w:ascii="Arial" w:hAnsi="Arial" w:cs="Arial"/>
                <w:vertAlign w:val="superscript"/>
                <w:lang w:eastAsia="zh-CN"/>
              </w:rPr>
              <w:t>nd</w:t>
            </w:r>
            <w:r w:rsidRPr="00C2385C">
              <w:rPr>
                <w:rFonts w:ascii="Arial" w:hAnsi="Arial" w:cs="Arial"/>
                <w:lang w:eastAsia="zh-CN"/>
              </w:rPr>
              <w:t xml:space="preserve"> priority indoor</w:t>
            </w:r>
          </w:p>
          <w:p w14:paraId="5C7779C1" w14:textId="3BF34938" w:rsidR="002D334C" w:rsidRPr="00AD616E" w:rsidRDefault="00AD616E" w:rsidP="00AD616E">
            <w:pPr>
              <w:pStyle w:val="ListParagraph"/>
              <w:numPr>
                <w:ilvl w:val="0"/>
                <w:numId w:val="8"/>
              </w:numPr>
              <w:overflowPunct/>
              <w:autoSpaceDE/>
              <w:autoSpaceDN/>
              <w:adjustRightInd/>
              <w:spacing w:after="120" w:line="259" w:lineRule="auto"/>
              <w:textAlignment w:val="auto"/>
              <w:rPr>
                <w:rFonts w:ascii="Arial" w:hAnsi="Arial" w:cs="Arial"/>
                <w:lang w:eastAsia="zh-CN"/>
              </w:rPr>
            </w:pPr>
            <w:r w:rsidRPr="00C2385C">
              <w:rPr>
                <w:rFonts w:ascii="Arial" w:hAnsi="Arial" w:cs="Arial"/>
                <w:lang w:eastAsia="zh-CN"/>
              </w:rPr>
              <w:t>3</w:t>
            </w:r>
            <w:r w:rsidRPr="00C2385C">
              <w:rPr>
                <w:rFonts w:ascii="Arial" w:hAnsi="Arial" w:cs="Arial"/>
                <w:vertAlign w:val="superscript"/>
                <w:lang w:eastAsia="zh-CN"/>
              </w:rPr>
              <w:t>rd</w:t>
            </w:r>
            <w:r w:rsidRPr="00C2385C">
              <w:rPr>
                <w:rFonts w:ascii="Arial" w:hAnsi="Arial" w:cs="Arial"/>
                <w:lang w:eastAsia="zh-CN"/>
              </w:rPr>
              <w:t xml:space="preserve"> priority dense urban</w:t>
            </w:r>
          </w:p>
        </w:tc>
      </w:tr>
    </w:tbl>
    <w:p w14:paraId="6B41EFB1" w14:textId="11411069" w:rsidR="00F17B30" w:rsidRDefault="00F17B30" w:rsidP="00823087">
      <w:pPr>
        <w:spacing w:after="0"/>
        <w:jc w:val="both"/>
        <w:rPr>
          <w:lang w:eastAsia="ja-JP"/>
        </w:rPr>
      </w:pPr>
    </w:p>
    <w:p w14:paraId="52D94157" w14:textId="329C3C05" w:rsidR="0053201B" w:rsidRDefault="00BB1073" w:rsidP="00823087">
      <w:pPr>
        <w:spacing w:after="0"/>
        <w:jc w:val="both"/>
        <w:rPr>
          <w:lang w:eastAsia="ja-JP"/>
        </w:rPr>
      </w:pPr>
      <w:r>
        <w:rPr>
          <w:lang w:eastAsia="ja-JP"/>
        </w:rPr>
        <w:t xml:space="preserve">For 6GHz and 10 GHz coexistence work carried out in [3], indoor and urban </w:t>
      </w:r>
      <w:r w:rsidR="00DB2979">
        <w:rPr>
          <w:lang w:eastAsia="ja-JP"/>
        </w:rPr>
        <w:t xml:space="preserve">(ISD= 450m) </w:t>
      </w:r>
      <w:r>
        <w:rPr>
          <w:lang w:eastAsia="ja-JP"/>
        </w:rPr>
        <w:t>were</w:t>
      </w:r>
      <w:r w:rsidR="00DB2979">
        <w:rPr>
          <w:lang w:eastAsia="ja-JP"/>
        </w:rPr>
        <w:t xml:space="preserve"> considered when deriving the ACLR/ACS</w:t>
      </w:r>
      <w:r w:rsidR="000F117D">
        <w:rPr>
          <w:lang w:eastAsia="ja-JP"/>
        </w:rPr>
        <w:t>, where it can be observed that the Urban macro ACIR results were the more stringent between the two scenarios.</w:t>
      </w:r>
      <w:r w:rsidR="00DB2979">
        <w:rPr>
          <w:lang w:eastAsia="ja-JP"/>
        </w:rPr>
        <w:t xml:space="preserve"> </w:t>
      </w:r>
      <w:r w:rsidR="00531513">
        <w:rPr>
          <w:lang w:eastAsia="ja-JP"/>
        </w:rPr>
        <w:t xml:space="preserve">In our view, this band is targeted for UMa-like coverage </w:t>
      </w:r>
      <w:r w:rsidR="008D2A99">
        <w:rPr>
          <w:lang w:eastAsia="ja-JP"/>
        </w:rPr>
        <w:t xml:space="preserve">and should not </w:t>
      </w:r>
      <w:r w:rsidR="00ED453D">
        <w:rPr>
          <w:rFonts w:eastAsiaTheme="minorEastAsia" w:hint="eastAsia"/>
          <w:lang w:eastAsia="ja-JP"/>
        </w:rPr>
        <w:t xml:space="preserve">be </w:t>
      </w:r>
      <w:r w:rsidR="008D2A99">
        <w:rPr>
          <w:lang w:eastAsia="ja-JP"/>
        </w:rPr>
        <w:t xml:space="preserve">limited to indoor or micro dense deployments. </w:t>
      </w:r>
      <w:r w:rsidR="002220E3">
        <w:rPr>
          <w:lang w:eastAsia="ja-JP"/>
        </w:rPr>
        <w:t>Given that RAN4 is targeting large antenna array deployments at the BS side, it is viable to assert that</w:t>
      </w:r>
      <w:r w:rsidR="00DE50F5">
        <w:rPr>
          <w:lang w:eastAsia="ja-JP"/>
        </w:rPr>
        <w:t xml:space="preserve"> the DL and UL SINR </w:t>
      </w:r>
      <w:r w:rsidR="002220E3">
        <w:rPr>
          <w:lang w:eastAsia="ja-JP"/>
        </w:rPr>
        <w:t xml:space="preserve">will be </w:t>
      </w:r>
      <w:r w:rsidR="0053201B">
        <w:rPr>
          <w:lang w:eastAsia="ja-JP"/>
        </w:rPr>
        <w:t xml:space="preserve">good enough </w:t>
      </w:r>
      <w:r w:rsidR="002220E3">
        <w:rPr>
          <w:lang w:eastAsia="ja-JP"/>
        </w:rPr>
        <w:t>for urban macro deployments</w:t>
      </w:r>
      <w:r w:rsidR="0053201B">
        <w:rPr>
          <w:lang w:eastAsia="ja-JP"/>
        </w:rPr>
        <w:t xml:space="preserve">. </w:t>
      </w:r>
      <w:r w:rsidR="007C67C0">
        <w:rPr>
          <w:lang w:eastAsia="ja-JP"/>
        </w:rPr>
        <w:t xml:space="preserve">Additionally, since UMa ACIR requirements are generally more stringent compared to the indoor scenarios, it is viable for </w:t>
      </w:r>
      <w:r w:rsidR="007C67C0" w:rsidRPr="007C67C0">
        <w:rPr>
          <w:lang w:eastAsia="ja-JP"/>
        </w:rPr>
        <w:t>RAN4 to prioritize urban macro deployment scenarios and consider Indoor scenario after all assumptions/ parameters for the urban macro deployment are agreed</w:t>
      </w:r>
      <w:r w:rsidR="007C67C0">
        <w:rPr>
          <w:lang w:eastAsia="ja-JP"/>
        </w:rPr>
        <w:t>.</w:t>
      </w:r>
    </w:p>
    <w:p w14:paraId="52BDAB2B" w14:textId="09ECA10E" w:rsidR="0053201B" w:rsidRDefault="0053201B" w:rsidP="0053201B">
      <w:pPr>
        <w:rPr>
          <w:b/>
          <w:bCs/>
        </w:rPr>
      </w:pPr>
      <w:r w:rsidRPr="00E33B2F">
        <w:rPr>
          <w:b/>
          <w:bCs/>
          <w:u w:val="single"/>
          <w:lang w:eastAsia="ja-JP"/>
        </w:rPr>
        <w:t>Observation</w:t>
      </w:r>
      <w:r w:rsidR="007F342F">
        <w:rPr>
          <w:b/>
          <w:bCs/>
          <w:u w:val="single"/>
          <w:lang w:eastAsia="ja-JP"/>
        </w:rPr>
        <w:t xml:space="preserve"> 1</w:t>
      </w:r>
      <w:r w:rsidRPr="00353594">
        <w:rPr>
          <w:b/>
          <w:bCs/>
          <w:lang w:eastAsia="ja-JP"/>
        </w:rPr>
        <w:t xml:space="preserve">: </w:t>
      </w:r>
      <w:r w:rsidR="00CF77B6" w:rsidRPr="00353594">
        <w:rPr>
          <w:b/>
          <w:bCs/>
          <w:lang w:eastAsia="ja-JP"/>
        </w:rPr>
        <w:t xml:space="preserve">Urban macro deployments for the </w:t>
      </w:r>
      <w:r w:rsidR="00CF77B6" w:rsidRPr="00353594">
        <w:rPr>
          <w:b/>
          <w:bCs/>
        </w:rPr>
        <w:t xml:space="preserve">14800 – 15350 MHz frequency range is feasible based </w:t>
      </w:r>
      <w:r w:rsidR="000250BC">
        <w:rPr>
          <w:b/>
          <w:bCs/>
        </w:rPr>
        <w:t xml:space="preserve">the assumptions of large antenna array at the BS side. </w:t>
      </w:r>
    </w:p>
    <w:p w14:paraId="6B4C26F1" w14:textId="4840BE54" w:rsidR="00353594" w:rsidRDefault="00353594" w:rsidP="0053201B">
      <w:pPr>
        <w:rPr>
          <w:b/>
          <w:bCs/>
        </w:rPr>
      </w:pPr>
      <w:r w:rsidRPr="00E33B2F">
        <w:rPr>
          <w:b/>
          <w:bCs/>
          <w:u w:val="single"/>
        </w:rPr>
        <w:t>Proposal</w:t>
      </w:r>
      <w:r w:rsidR="007F342F">
        <w:rPr>
          <w:b/>
          <w:bCs/>
          <w:u w:val="single"/>
        </w:rPr>
        <w:t xml:space="preserve"> 1</w:t>
      </w:r>
      <w:r>
        <w:rPr>
          <w:b/>
          <w:bCs/>
        </w:rPr>
        <w:t xml:space="preserve">: RAN4 to </w:t>
      </w:r>
      <w:r w:rsidR="00A550C1">
        <w:rPr>
          <w:b/>
          <w:bCs/>
        </w:rPr>
        <w:t>prioritize urban macro</w:t>
      </w:r>
      <w:r w:rsidR="00E33B2F">
        <w:rPr>
          <w:b/>
          <w:bCs/>
        </w:rPr>
        <w:t xml:space="preserve"> deployment scenarios</w:t>
      </w:r>
      <w:r w:rsidR="00A550C1">
        <w:rPr>
          <w:b/>
          <w:bCs/>
        </w:rPr>
        <w:t xml:space="preserve"> and consider Indoor scenario after all assumptions/ parameters for the urban macro deployment are agreed</w:t>
      </w:r>
      <w:r w:rsidR="00E33B2F">
        <w:rPr>
          <w:b/>
          <w:bCs/>
        </w:rPr>
        <w:t xml:space="preserve">. </w:t>
      </w:r>
    </w:p>
    <w:p w14:paraId="5014D544" w14:textId="4699C7E8" w:rsidR="00277353" w:rsidRPr="00277353" w:rsidRDefault="00277353" w:rsidP="0053201B">
      <w:r w:rsidRPr="00277353">
        <w:t xml:space="preserve">Regarding coordination of deployment, the following was agreed in [2]: </w:t>
      </w:r>
    </w:p>
    <w:tbl>
      <w:tblPr>
        <w:tblStyle w:val="TableGrid"/>
        <w:tblW w:w="0" w:type="auto"/>
        <w:tblLook w:val="04A0" w:firstRow="1" w:lastRow="0" w:firstColumn="1" w:lastColumn="0" w:noHBand="0" w:noVBand="1"/>
      </w:tblPr>
      <w:tblGrid>
        <w:gridCol w:w="9622"/>
      </w:tblGrid>
      <w:tr w:rsidR="00277353" w14:paraId="0F6F698B" w14:textId="77777777" w:rsidTr="00277353">
        <w:tc>
          <w:tcPr>
            <w:tcW w:w="9622" w:type="dxa"/>
          </w:tcPr>
          <w:p w14:paraId="055C5804" w14:textId="77777777" w:rsidR="00B23D5E" w:rsidRPr="008D62C7" w:rsidRDefault="00B23D5E" w:rsidP="00B23D5E">
            <w:pPr>
              <w:spacing w:after="0"/>
              <w:ind w:left="284"/>
              <w:rPr>
                <w:u w:val="single"/>
              </w:rPr>
            </w:pPr>
            <w:r w:rsidRPr="0095125E">
              <w:rPr>
                <w:u w:val="single"/>
              </w:rPr>
              <w:t>Issue 3-</w:t>
            </w:r>
            <w:r>
              <w:rPr>
                <w:u w:val="single"/>
              </w:rPr>
              <w:t>3</w:t>
            </w:r>
            <w:r w:rsidRPr="0095125E">
              <w:rPr>
                <w:u w:val="single"/>
              </w:rPr>
              <w:t xml:space="preserve"> Initial </w:t>
            </w:r>
            <w:r>
              <w:rPr>
                <w:u w:val="single"/>
              </w:rPr>
              <w:t>coordinated operation</w:t>
            </w:r>
            <w:r w:rsidRPr="0095125E">
              <w:rPr>
                <w:u w:val="single"/>
              </w:rPr>
              <w:t xml:space="preserve"> </w:t>
            </w:r>
          </w:p>
          <w:p w14:paraId="42A9460E" w14:textId="77777777" w:rsidR="00B23D5E" w:rsidRPr="002E0B53" w:rsidRDefault="00B23D5E" w:rsidP="00B23D5E">
            <w:pPr>
              <w:pStyle w:val="ListParagraph"/>
              <w:numPr>
                <w:ilvl w:val="0"/>
                <w:numId w:val="6"/>
              </w:numPr>
              <w:spacing w:after="0"/>
              <w:ind w:left="1004"/>
            </w:pPr>
            <w:r w:rsidRPr="002E0B53">
              <w:t xml:space="preserve">Option 1: </w:t>
            </w:r>
          </w:p>
          <w:p w14:paraId="72F14E31" w14:textId="77777777" w:rsidR="00B23D5E" w:rsidRPr="002E0B53" w:rsidRDefault="00B23D5E" w:rsidP="00B23D5E">
            <w:pPr>
              <w:pStyle w:val="ListParagraph"/>
              <w:numPr>
                <w:ilvl w:val="1"/>
                <w:numId w:val="6"/>
              </w:numPr>
              <w:spacing w:after="0"/>
            </w:pPr>
            <w:r w:rsidRPr="002E0B53">
              <w:t>Co-ordinated for indoor</w:t>
            </w:r>
          </w:p>
          <w:p w14:paraId="5A15BFE4" w14:textId="665B0DC0" w:rsidR="00277353" w:rsidRPr="00B23D5E" w:rsidRDefault="00B23D5E" w:rsidP="00B23D5E">
            <w:pPr>
              <w:pStyle w:val="ListParagraph"/>
              <w:numPr>
                <w:ilvl w:val="1"/>
                <w:numId w:val="6"/>
              </w:numPr>
              <w:spacing w:after="0"/>
            </w:pPr>
            <w:r w:rsidRPr="002E0B53">
              <w:t>Both co-ordinated and un-co-ordinated for outdoor</w:t>
            </w:r>
          </w:p>
        </w:tc>
      </w:tr>
    </w:tbl>
    <w:p w14:paraId="7A6BB65C" w14:textId="1E69FD84" w:rsidR="00B23D5E" w:rsidRDefault="00B23D5E" w:rsidP="0053201B">
      <w:pPr>
        <w:rPr>
          <w:lang w:eastAsia="ja-JP"/>
        </w:rPr>
      </w:pPr>
      <w:r>
        <w:rPr>
          <w:lang w:eastAsia="ja-JP"/>
        </w:rPr>
        <w:t xml:space="preserve">In our views, </w:t>
      </w:r>
      <w:r w:rsidR="00243A28">
        <w:rPr>
          <w:lang w:eastAsia="ja-JP"/>
        </w:rPr>
        <w:t xml:space="preserve">indoor deployment is typically assumed to be </w:t>
      </w:r>
      <w:r w:rsidR="005C7EBB">
        <w:rPr>
          <w:lang w:eastAsia="ja-JP"/>
        </w:rPr>
        <w:t>co-ordinated</w:t>
      </w:r>
      <w:r w:rsidR="00243A28">
        <w:rPr>
          <w:lang w:eastAsia="ja-JP"/>
        </w:rPr>
        <w:t xml:space="preserve"> in most of the RAN4 adjacent channel coexistence studies (as an example see TR 38.803 and TR 38.921), thus, we propose to consider only co-</w:t>
      </w:r>
      <w:r w:rsidR="005C7EBB">
        <w:rPr>
          <w:lang w:eastAsia="ja-JP"/>
        </w:rPr>
        <w:t>ordinated deployment for indoor. For outdoor, having un-</w:t>
      </w:r>
      <w:r w:rsidR="00D54E35">
        <w:rPr>
          <w:lang w:eastAsia="ja-JP"/>
        </w:rPr>
        <w:t>coordinated</w:t>
      </w:r>
      <w:r w:rsidR="005C7EBB">
        <w:rPr>
          <w:lang w:eastAsia="ja-JP"/>
        </w:rPr>
        <w:t xml:space="preserve"> deployment has been the common assumption as well since </w:t>
      </w:r>
      <w:r w:rsidR="00D54E35">
        <w:rPr>
          <w:lang w:eastAsia="ja-JP"/>
        </w:rPr>
        <w:lastRenderedPageBreak/>
        <w:t xml:space="preserve">fully coordinated deployment between different operators requires additional complexity and coordination. Also </w:t>
      </w:r>
      <w:r w:rsidR="00715476">
        <w:rPr>
          <w:lang w:eastAsia="ja-JP"/>
        </w:rPr>
        <w:t xml:space="preserve">given the timeline to finalize the parameters for this frequency range, only un-coordinated deployment should be prioritized. </w:t>
      </w:r>
    </w:p>
    <w:p w14:paraId="2F76039F" w14:textId="733BA1D8" w:rsidR="00715476" w:rsidRPr="00715476" w:rsidRDefault="00715476" w:rsidP="0053201B">
      <w:pPr>
        <w:rPr>
          <w:b/>
          <w:bCs/>
        </w:rPr>
      </w:pPr>
      <w:r w:rsidRPr="00E33B2F">
        <w:rPr>
          <w:b/>
          <w:bCs/>
          <w:u w:val="single"/>
        </w:rPr>
        <w:t>Proposal</w:t>
      </w:r>
      <w:r>
        <w:rPr>
          <w:b/>
          <w:bCs/>
          <w:u w:val="single"/>
        </w:rPr>
        <w:t xml:space="preserve"> </w:t>
      </w:r>
      <w:r w:rsidR="00482050">
        <w:rPr>
          <w:b/>
          <w:bCs/>
          <w:u w:val="single"/>
        </w:rPr>
        <w:t>2</w:t>
      </w:r>
      <w:r>
        <w:rPr>
          <w:b/>
          <w:bCs/>
        </w:rPr>
        <w:t xml:space="preserve">: RAN4 to consider </w:t>
      </w:r>
      <w:r w:rsidR="00F074FB">
        <w:rPr>
          <w:b/>
          <w:bCs/>
        </w:rPr>
        <w:t xml:space="preserve">as </w:t>
      </w:r>
      <w:proofErr w:type="gramStart"/>
      <w:r w:rsidR="00F074FB">
        <w:rPr>
          <w:b/>
          <w:bCs/>
        </w:rPr>
        <w:t>a first priority</w:t>
      </w:r>
      <w:proofErr w:type="gramEnd"/>
      <w:r w:rsidR="00F074FB">
        <w:rPr>
          <w:b/>
          <w:bCs/>
        </w:rPr>
        <w:t xml:space="preserve"> </w:t>
      </w:r>
      <w:r>
        <w:rPr>
          <w:b/>
          <w:bCs/>
        </w:rPr>
        <w:t xml:space="preserve">uncoordinated </w:t>
      </w:r>
      <w:r w:rsidR="00F074FB">
        <w:rPr>
          <w:b/>
          <w:bCs/>
        </w:rPr>
        <w:t>urban macro</w:t>
      </w:r>
      <w:r>
        <w:rPr>
          <w:b/>
          <w:bCs/>
        </w:rPr>
        <w:t xml:space="preserve"> deployments in the adjacent channel coexistence framework</w:t>
      </w:r>
      <w:r w:rsidR="00F074FB">
        <w:rPr>
          <w:b/>
          <w:bCs/>
        </w:rPr>
        <w:t xml:space="preserve">, similar to TR 38.921. </w:t>
      </w:r>
    </w:p>
    <w:p w14:paraId="48F4E0ED" w14:textId="6526F958" w:rsidR="00D4248B" w:rsidRPr="00D4248B" w:rsidRDefault="006A709E" w:rsidP="00823087">
      <w:pPr>
        <w:pStyle w:val="Heading3"/>
        <w:jc w:val="both"/>
        <w:rPr>
          <w:lang w:eastAsia="ja-JP"/>
        </w:rPr>
      </w:pPr>
      <w:r>
        <w:rPr>
          <w:lang w:eastAsia="ja-JP"/>
        </w:rPr>
        <w:t>2.</w:t>
      </w:r>
      <w:r w:rsidR="00E94167">
        <w:rPr>
          <w:lang w:eastAsia="ja-JP"/>
        </w:rPr>
        <w:t>2</w:t>
      </w:r>
      <w:r w:rsidR="001B15BE">
        <w:rPr>
          <w:lang w:eastAsia="ja-JP"/>
        </w:rPr>
        <w:t>.2</w:t>
      </w:r>
      <w:r>
        <w:rPr>
          <w:lang w:eastAsia="ja-JP"/>
        </w:rPr>
        <w:tab/>
      </w:r>
      <w:r w:rsidR="00D4248B" w:rsidRPr="00D4248B">
        <w:rPr>
          <w:lang w:eastAsia="ja-JP"/>
        </w:rPr>
        <w:t>Channel bandwidth</w:t>
      </w:r>
    </w:p>
    <w:p w14:paraId="7D9EA049" w14:textId="71782CBF" w:rsidR="00D4248B" w:rsidRDefault="00F57B90" w:rsidP="00823087">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AE510F">
        <w:t xml:space="preserve">Channel bandwidth of </w:t>
      </w:r>
      <w:r w:rsidR="00AE510F" w:rsidRPr="00B11736">
        <w:t>100 MHz has been considered as a representative channel bandwidth</w:t>
      </w:r>
      <w:r w:rsidR="00AE510F">
        <w:t xml:space="preserve"> in TR 38.921 for 6GHz and 10GHz. </w:t>
      </w:r>
      <w:r w:rsidR="002D37EF">
        <w:t xml:space="preserve">Accordingly, it is proposed that </w:t>
      </w:r>
      <w:r w:rsidR="00B11736">
        <w:t xml:space="preserve">higher channel bandwidth (e.g., 200 MHz) should </w:t>
      </w:r>
      <w:r w:rsidR="001D1E76">
        <w:t>be considered as a baseline for this frequency range</w:t>
      </w:r>
      <w:r w:rsidR="007855B3">
        <w:t xml:space="preserve">. </w:t>
      </w:r>
    </w:p>
    <w:p w14:paraId="295DA252" w14:textId="4F2D2110" w:rsidR="007855B3" w:rsidRDefault="007855B3" w:rsidP="00823087">
      <w:pPr>
        <w:jc w:val="both"/>
        <w:rPr>
          <w:b/>
          <w:bCs/>
        </w:rPr>
      </w:pPr>
      <w:r w:rsidRPr="00F076B6">
        <w:rPr>
          <w:b/>
          <w:bCs/>
          <w:u w:val="single"/>
        </w:rPr>
        <w:t xml:space="preserve">Proposal </w:t>
      </w:r>
      <w:r w:rsidR="00482050">
        <w:rPr>
          <w:b/>
          <w:bCs/>
          <w:u w:val="single"/>
        </w:rPr>
        <w:t>3</w:t>
      </w:r>
      <w:r w:rsidRPr="00915421">
        <w:rPr>
          <w:b/>
          <w:bCs/>
        </w:rPr>
        <w:t xml:space="preserve">: </w:t>
      </w:r>
      <w:r w:rsidR="00B75FB9">
        <w:rPr>
          <w:b/>
          <w:bCs/>
        </w:rPr>
        <w:t xml:space="preserve">RAN4 to consider </w:t>
      </w:r>
      <w:r w:rsidR="001D1E76">
        <w:rPr>
          <w:b/>
          <w:bCs/>
        </w:rPr>
        <w:t>2</w:t>
      </w:r>
      <w:r w:rsidR="00B75FB9">
        <w:rPr>
          <w:b/>
          <w:bCs/>
        </w:rPr>
        <w:t xml:space="preserve">00 MHz as a baseline </w:t>
      </w:r>
      <w:r w:rsidR="001D1E76">
        <w:rPr>
          <w:b/>
          <w:bCs/>
        </w:rPr>
        <w:t>in the adjacent channel</w:t>
      </w:r>
      <w:r w:rsidR="00A26E72">
        <w:rPr>
          <w:b/>
          <w:bCs/>
        </w:rPr>
        <w:t xml:space="preserve"> coexistence</w:t>
      </w:r>
      <w:r w:rsidR="001D1E76">
        <w:rPr>
          <w:b/>
          <w:bCs/>
        </w:rPr>
        <w:t xml:space="preserve"> framework. </w:t>
      </w:r>
    </w:p>
    <w:p w14:paraId="786B2B8A" w14:textId="560EA143" w:rsidR="00884DBF" w:rsidRDefault="00884DBF" w:rsidP="001B15BE">
      <w:pPr>
        <w:pStyle w:val="Heading2"/>
      </w:pPr>
      <w:r>
        <w:t>2.</w:t>
      </w:r>
      <w:r w:rsidR="000F117D">
        <w:t>2</w:t>
      </w:r>
      <w:r>
        <w:tab/>
      </w:r>
      <w:r w:rsidRPr="001B15BE">
        <w:rPr>
          <w:rStyle w:val="Heading2Char"/>
        </w:rPr>
        <w:t>BS parameters</w:t>
      </w:r>
      <w:r>
        <w:t xml:space="preserve"> </w:t>
      </w:r>
    </w:p>
    <w:p w14:paraId="42723BA7" w14:textId="1D0A0E97" w:rsidR="00884DBF" w:rsidRPr="009C5EBE" w:rsidRDefault="00884DBF" w:rsidP="00884DBF">
      <w:pPr>
        <w:jc w:val="both"/>
      </w:pPr>
      <w:r>
        <w:t xml:space="preserve">For the BS AAS parameters, it is expected that large number of arrays to be deployed at the gNB to compensate for the incurred propagation losses at this frequency range. For the 4400-4800MHz, 192 elements were assumed, while discussions in the 7125 – 8400 MHz frequency range are in the ballpark of 384 antenna elements. To maintain the same physical area of the antenna array in the 14800 – 15350 MHz frequency range, the number of elements is expected to be larger than 1k elements. </w:t>
      </w:r>
      <w:r w:rsidRPr="0F4A4BAB">
        <w:rPr>
          <w:lang w:val="en-US"/>
        </w:rPr>
        <w:t xml:space="preserve">Accordingly, RAN4 </w:t>
      </w:r>
      <w:r>
        <w:rPr>
          <w:lang w:val="en-US"/>
        </w:rPr>
        <w:t xml:space="preserve">will need to </w:t>
      </w:r>
      <w:r w:rsidR="00834CAB">
        <w:rPr>
          <w:lang w:val="en-US"/>
        </w:rPr>
        <w:t>study</w:t>
      </w:r>
      <w:r>
        <w:rPr>
          <w:lang w:val="en-US"/>
        </w:rPr>
        <w:t xml:space="preserve"> the feasibility of having such number of antenna elements in that frequency range. </w:t>
      </w:r>
      <w:r w:rsidRPr="0F4A4BAB">
        <w:rPr>
          <w:lang w:val="en-US"/>
        </w:rPr>
        <w:t xml:space="preserve"> </w:t>
      </w:r>
    </w:p>
    <w:p w14:paraId="3367580D" w14:textId="5028ADAF" w:rsidR="00884DBF" w:rsidRDefault="00884DBF" w:rsidP="00884DBF">
      <w:pPr>
        <w:jc w:val="both"/>
        <w:rPr>
          <w:b/>
          <w:bCs/>
        </w:rPr>
      </w:pPr>
      <w:r w:rsidRPr="00AC7669">
        <w:rPr>
          <w:b/>
          <w:bCs/>
          <w:u w:val="single"/>
        </w:rPr>
        <w:t>Proposal</w:t>
      </w:r>
      <w:r w:rsidR="006C2DEE">
        <w:rPr>
          <w:b/>
          <w:bCs/>
          <w:u w:val="single"/>
        </w:rPr>
        <w:t xml:space="preserve"> </w:t>
      </w:r>
      <w:r w:rsidR="00B76F27">
        <w:rPr>
          <w:b/>
          <w:bCs/>
          <w:u w:val="single"/>
        </w:rPr>
        <w:t>4</w:t>
      </w:r>
      <w:r w:rsidRPr="00297A8F">
        <w:rPr>
          <w:b/>
          <w:bCs/>
        </w:rPr>
        <w:t xml:space="preserve">: RAN4 to </w:t>
      </w:r>
      <w:r w:rsidR="00F64D57">
        <w:rPr>
          <w:b/>
          <w:bCs/>
        </w:rPr>
        <w:t xml:space="preserve">consider at least 1k elements at the BS side and </w:t>
      </w:r>
      <w:r>
        <w:rPr>
          <w:b/>
          <w:bCs/>
        </w:rPr>
        <w:t>study feasibility</w:t>
      </w:r>
      <w:r w:rsidRPr="00297A8F">
        <w:rPr>
          <w:b/>
          <w:bCs/>
        </w:rPr>
        <w:t xml:space="preserve"> of </w:t>
      </w:r>
      <w:r>
        <w:rPr>
          <w:b/>
          <w:bCs/>
        </w:rPr>
        <w:t>deploying larger</w:t>
      </w:r>
      <w:r w:rsidRPr="00297A8F">
        <w:rPr>
          <w:b/>
          <w:bCs/>
        </w:rPr>
        <w:t xml:space="preserve"> </w:t>
      </w:r>
      <w:r>
        <w:rPr>
          <w:b/>
          <w:bCs/>
        </w:rPr>
        <w:t>number of antenna elements in the BS compared to FR1 for the 15 GHz range.</w:t>
      </w:r>
    </w:p>
    <w:p w14:paraId="25711042" w14:textId="77777777" w:rsidR="00884DBF" w:rsidRDefault="00884DBF" w:rsidP="00884DBF">
      <w:pPr>
        <w:jc w:val="both"/>
        <w:rPr>
          <w:lang w:val="en-US"/>
        </w:rPr>
      </w:pPr>
      <w:r>
        <w:t xml:space="preserve">Another important AAS aspect is the underlying AAS pattern model. For </w:t>
      </w:r>
      <w:r>
        <w:rPr>
          <w:lang w:val="en-US"/>
        </w:rPr>
        <w:t>1710 – 4990 MHz</w:t>
      </w:r>
      <w:r>
        <w:t xml:space="preserve"> frequency range, an </w:t>
      </w:r>
      <w:r>
        <w:rPr>
          <w:lang w:val="en-US"/>
        </w:rPr>
        <w:t>extended version of the AAS array antenna model is in TR 38.803, subclause 5.2.3.2.4 to support vertical sub-array geometries</w:t>
      </w:r>
      <w:r w:rsidRPr="00540DBD">
        <w:t xml:space="preserve"> </w:t>
      </w:r>
      <w:r>
        <w:t xml:space="preserve">with fixed </w:t>
      </w:r>
      <w:r w:rsidRPr="00D51E6B">
        <w:t>sub-array down-tilt</w:t>
      </w:r>
      <w:r>
        <w:rPr>
          <w:lang w:val="en-US"/>
        </w:rPr>
        <w:t xml:space="preserve">. For the 7125 – 8400 MHz frequency range, discussions are ongoing on the optimal set of AAS parameters with subarrays. It is important that AAS parameters with subarrays are selected to facilitate the coexistence with other incumbent (3GPP and non-3GPP) networks and services.  </w:t>
      </w:r>
    </w:p>
    <w:p w14:paraId="692EC8C1" w14:textId="31C3EBFA" w:rsidR="00884DBF" w:rsidRPr="0039563D" w:rsidRDefault="00884DBF" w:rsidP="00823087">
      <w:pPr>
        <w:jc w:val="both"/>
        <w:rPr>
          <w:b/>
          <w:bCs/>
        </w:rPr>
      </w:pPr>
      <w:r w:rsidRPr="001E51AD">
        <w:rPr>
          <w:b/>
          <w:bCs/>
          <w:u w:val="single"/>
          <w:lang w:val="en-US"/>
        </w:rPr>
        <w:t>Observation</w:t>
      </w:r>
      <w:r w:rsidR="006C2DEE">
        <w:rPr>
          <w:b/>
          <w:bCs/>
          <w:u w:val="single"/>
          <w:lang w:val="en-US"/>
        </w:rPr>
        <w:t xml:space="preserve"> 2</w:t>
      </w:r>
      <w:r w:rsidRPr="00647AA7">
        <w:rPr>
          <w:b/>
          <w:bCs/>
          <w:lang w:val="en-US"/>
        </w:rPr>
        <w:t xml:space="preserve">: BS AAS parameters should be selected to facilitate the coexistence with other incumbent services. </w:t>
      </w:r>
    </w:p>
    <w:p w14:paraId="61DDC875" w14:textId="5CD92DB7" w:rsidR="001B15BE" w:rsidRDefault="007E5653" w:rsidP="001B15BE">
      <w:pPr>
        <w:pStyle w:val="Heading2"/>
      </w:pPr>
      <w:r>
        <w:t>2.</w:t>
      </w:r>
      <w:r w:rsidR="001B15BE">
        <w:t xml:space="preserve">4 </w:t>
      </w:r>
      <w:r w:rsidR="00E40806">
        <w:tab/>
      </w:r>
      <w:r w:rsidR="001B15BE">
        <w:t>UE parameters</w:t>
      </w:r>
      <w:r>
        <w:t xml:space="preserve"> </w:t>
      </w:r>
      <w:r>
        <w:tab/>
      </w:r>
    </w:p>
    <w:p w14:paraId="2F641FB2" w14:textId="45CCFC94" w:rsidR="00F3200C" w:rsidRPr="00E40806" w:rsidRDefault="007E5653" w:rsidP="00E40806">
      <w:pPr>
        <w:pStyle w:val="Heading3"/>
        <w:ind w:left="0" w:firstLine="0"/>
        <w:jc w:val="both"/>
        <w:rPr>
          <w:b/>
          <w:bCs/>
        </w:rPr>
      </w:pPr>
      <w:r w:rsidRPr="00947EAE">
        <w:rPr>
          <w:b/>
          <w:bCs/>
        </w:rPr>
        <w:t xml:space="preserve"> </w:t>
      </w:r>
      <w:r w:rsidR="006C2DEE">
        <w:t>2.4.</w:t>
      </w:r>
      <w:r w:rsidR="00E40806">
        <w:t>1</w:t>
      </w:r>
      <w:r w:rsidR="00E40806">
        <w:tab/>
      </w:r>
      <w:r w:rsidR="00E40806">
        <w:tab/>
      </w:r>
      <w:r w:rsidR="00F3200C">
        <w:t>UE beamforming</w:t>
      </w:r>
    </w:p>
    <w:p w14:paraId="2F20B3A0" w14:textId="663B66D7" w:rsidR="00F3200C" w:rsidRDefault="00F3200C" w:rsidP="00F3200C">
      <w:pPr>
        <w:jc w:val="both"/>
      </w:pPr>
      <w:r>
        <w:t>In [</w:t>
      </w:r>
      <w:r w:rsidR="0030605B">
        <w:t>2</w:t>
      </w:r>
      <w:r>
        <w:t xml:space="preserve">], </w:t>
      </w:r>
      <w:r w:rsidR="006115D1">
        <w:t xml:space="preserve">the following was agreed: </w:t>
      </w:r>
    </w:p>
    <w:tbl>
      <w:tblPr>
        <w:tblStyle w:val="TableGrid"/>
        <w:tblW w:w="0" w:type="auto"/>
        <w:tblLook w:val="04A0" w:firstRow="1" w:lastRow="0" w:firstColumn="1" w:lastColumn="0" w:noHBand="0" w:noVBand="1"/>
      </w:tblPr>
      <w:tblGrid>
        <w:gridCol w:w="9622"/>
      </w:tblGrid>
      <w:tr w:rsidR="00F3200C" w14:paraId="1F453816" w14:textId="77777777" w:rsidTr="00DA7AED">
        <w:tc>
          <w:tcPr>
            <w:tcW w:w="9622" w:type="dxa"/>
          </w:tcPr>
          <w:p w14:paraId="3A267AEE" w14:textId="77777777" w:rsidR="006115D1" w:rsidRPr="007021B0" w:rsidRDefault="006115D1" w:rsidP="006115D1">
            <w:pPr>
              <w:pStyle w:val="ListParagraph"/>
              <w:numPr>
                <w:ilvl w:val="0"/>
                <w:numId w:val="7"/>
              </w:numPr>
              <w:overflowPunct/>
              <w:autoSpaceDE/>
              <w:autoSpaceDN/>
              <w:spacing w:after="0"/>
              <w:ind w:hanging="357"/>
              <w:textAlignment w:val="auto"/>
              <w:rPr>
                <w:lang w:eastAsia="ko-KR"/>
              </w:rPr>
            </w:pPr>
            <w:r w:rsidRPr="007021B0">
              <w:rPr>
                <w:lang w:eastAsia="ko-KR"/>
              </w:rPr>
              <w:t xml:space="preserve">For simulations, consider both options. </w:t>
            </w:r>
          </w:p>
          <w:p w14:paraId="7146CB95" w14:textId="77777777" w:rsidR="006115D1" w:rsidRPr="007021B0" w:rsidRDefault="006115D1" w:rsidP="006115D1">
            <w:pPr>
              <w:pStyle w:val="ListParagraph"/>
              <w:numPr>
                <w:ilvl w:val="1"/>
                <w:numId w:val="7"/>
              </w:numPr>
              <w:overflowPunct/>
              <w:autoSpaceDE/>
              <w:autoSpaceDN/>
              <w:spacing w:after="0"/>
              <w:ind w:hanging="357"/>
              <w:textAlignment w:val="auto"/>
              <w:rPr>
                <w:lang w:eastAsia="ko-KR"/>
              </w:rPr>
            </w:pPr>
            <w:r w:rsidRPr="007021B0">
              <w:rPr>
                <w:lang w:eastAsia="ko-KR"/>
              </w:rPr>
              <w:t xml:space="preserve">FR1 like </w:t>
            </w:r>
          </w:p>
          <w:p w14:paraId="43FD0C23" w14:textId="77777777" w:rsidR="006115D1" w:rsidRPr="007021B0" w:rsidRDefault="006115D1" w:rsidP="006115D1">
            <w:pPr>
              <w:pStyle w:val="ListParagraph"/>
              <w:numPr>
                <w:ilvl w:val="2"/>
                <w:numId w:val="7"/>
              </w:numPr>
              <w:overflowPunct/>
              <w:autoSpaceDE/>
              <w:autoSpaceDN/>
              <w:spacing w:after="0"/>
              <w:ind w:hanging="357"/>
              <w:textAlignment w:val="auto"/>
              <w:rPr>
                <w:lang w:eastAsia="ko-KR"/>
              </w:rPr>
            </w:pPr>
            <w:r w:rsidRPr="007021B0">
              <w:rPr>
                <w:lang w:eastAsia="ko-KR"/>
              </w:rPr>
              <w:t>RX diversity gain: [0 or 5] dB assuming 4RX</w:t>
            </w:r>
          </w:p>
          <w:p w14:paraId="5DC7820A" w14:textId="77777777" w:rsidR="006115D1" w:rsidRPr="007021B0" w:rsidRDefault="006115D1" w:rsidP="006115D1">
            <w:pPr>
              <w:pStyle w:val="ListParagraph"/>
              <w:numPr>
                <w:ilvl w:val="2"/>
                <w:numId w:val="7"/>
              </w:numPr>
              <w:overflowPunct/>
              <w:autoSpaceDE/>
              <w:autoSpaceDN/>
              <w:spacing w:after="0"/>
              <w:ind w:hanging="357"/>
              <w:textAlignment w:val="auto"/>
              <w:rPr>
                <w:lang w:eastAsia="ko-KR"/>
              </w:rPr>
            </w:pPr>
            <w:r w:rsidRPr="007021B0">
              <w:rPr>
                <w:lang w:eastAsia="ko-KR"/>
              </w:rPr>
              <w:t>TX: 0dBi omnidirectional</w:t>
            </w:r>
          </w:p>
          <w:p w14:paraId="49D4A5FB" w14:textId="77777777" w:rsidR="006115D1" w:rsidRPr="007021B0" w:rsidRDefault="006115D1" w:rsidP="006115D1">
            <w:pPr>
              <w:pStyle w:val="ListParagraph"/>
              <w:numPr>
                <w:ilvl w:val="2"/>
                <w:numId w:val="7"/>
              </w:numPr>
              <w:overflowPunct/>
              <w:autoSpaceDE/>
              <w:autoSpaceDN/>
              <w:spacing w:after="0"/>
              <w:ind w:hanging="357"/>
              <w:textAlignment w:val="auto"/>
              <w:rPr>
                <w:lang w:eastAsia="ko-KR"/>
              </w:rPr>
            </w:pPr>
            <w:r w:rsidRPr="007021B0">
              <w:rPr>
                <w:lang w:eastAsia="ko-KR"/>
              </w:rPr>
              <w:t xml:space="preserve">Max Power: 23 dBm, 26dBm </w:t>
            </w:r>
          </w:p>
          <w:p w14:paraId="7DF05AAF" w14:textId="77777777" w:rsidR="006115D1" w:rsidRPr="007021B0" w:rsidRDefault="006115D1" w:rsidP="006115D1">
            <w:pPr>
              <w:pStyle w:val="ListParagraph"/>
              <w:numPr>
                <w:ilvl w:val="1"/>
                <w:numId w:val="7"/>
              </w:numPr>
              <w:overflowPunct/>
              <w:autoSpaceDE/>
              <w:autoSpaceDN/>
              <w:spacing w:after="0"/>
              <w:ind w:hanging="357"/>
              <w:textAlignment w:val="auto"/>
              <w:rPr>
                <w:lang w:eastAsia="ko-KR"/>
              </w:rPr>
            </w:pPr>
            <w:r w:rsidRPr="007021B0">
              <w:rPr>
                <w:lang w:eastAsia="ko-KR"/>
              </w:rPr>
              <w:t xml:space="preserve">FR2 like </w:t>
            </w:r>
          </w:p>
          <w:p w14:paraId="08D3D6E0" w14:textId="77777777" w:rsidR="006115D1" w:rsidRPr="007021B0" w:rsidRDefault="006115D1" w:rsidP="006115D1">
            <w:pPr>
              <w:pStyle w:val="ListParagraph"/>
              <w:numPr>
                <w:ilvl w:val="2"/>
                <w:numId w:val="7"/>
              </w:numPr>
              <w:overflowPunct/>
              <w:autoSpaceDE/>
              <w:autoSpaceDN/>
              <w:spacing w:after="0"/>
              <w:ind w:hanging="357"/>
              <w:textAlignment w:val="auto"/>
              <w:rPr>
                <w:lang w:eastAsia="ko-KR"/>
              </w:rPr>
            </w:pPr>
            <w:r w:rsidRPr="007021B0">
              <w:rPr>
                <w:lang w:eastAsia="ko-KR"/>
              </w:rPr>
              <w:t>Two panels (one in each direction) 2x2 antenna</w:t>
            </w:r>
          </w:p>
          <w:p w14:paraId="41E7070C" w14:textId="77777777" w:rsidR="006115D1" w:rsidRPr="007021B0" w:rsidRDefault="006115D1" w:rsidP="006115D1">
            <w:pPr>
              <w:pStyle w:val="ListParagraph"/>
              <w:numPr>
                <w:ilvl w:val="3"/>
                <w:numId w:val="7"/>
              </w:numPr>
              <w:overflowPunct/>
              <w:autoSpaceDE/>
              <w:autoSpaceDN/>
              <w:spacing w:after="0"/>
              <w:ind w:hanging="357"/>
              <w:textAlignment w:val="auto"/>
              <w:rPr>
                <w:lang w:eastAsia="ko-KR"/>
              </w:rPr>
            </w:pPr>
            <w:r w:rsidRPr="007021B0">
              <w:rPr>
                <w:lang w:eastAsia="ko-KR"/>
              </w:rPr>
              <w:t>5dBi element gain. Array gain comes on top</w:t>
            </w:r>
          </w:p>
          <w:p w14:paraId="1497D14D" w14:textId="57062FA0" w:rsidR="00F3200C" w:rsidRDefault="006115D1" w:rsidP="006115D1">
            <w:pPr>
              <w:pStyle w:val="ListParagraph"/>
              <w:numPr>
                <w:ilvl w:val="1"/>
                <w:numId w:val="7"/>
              </w:numPr>
              <w:spacing w:after="0"/>
              <w:ind w:hanging="357"/>
            </w:pPr>
            <w:r w:rsidRPr="007021B0">
              <w:rPr>
                <w:lang w:eastAsia="ko-KR"/>
              </w:rPr>
              <w:t>Power: 23 dBm as max TRP</w:t>
            </w:r>
          </w:p>
        </w:tc>
      </w:tr>
    </w:tbl>
    <w:p w14:paraId="3D8577EA" w14:textId="77777777" w:rsidR="00F3200C" w:rsidRDefault="00F3200C" w:rsidP="00F3200C">
      <w:pPr>
        <w:jc w:val="both"/>
      </w:pPr>
    </w:p>
    <w:p w14:paraId="28F59A23" w14:textId="77777777" w:rsidR="009E5EBF" w:rsidRDefault="00487D81" w:rsidP="00F3200C">
      <w:pPr>
        <w:jc w:val="both"/>
      </w:pPr>
      <w:r>
        <w:t>I</w:t>
      </w:r>
      <w:r w:rsidR="00F3200C">
        <w:t xml:space="preserve">t is expected that </w:t>
      </w:r>
      <w:r w:rsidR="00FF2707">
        <w:t xml:space="preserve">further </w:t>
      </w:r>
      <w:r>
        <w:t>down-scoping</w:t>
      </w:r>
      <w:r w:rsidR="00FF2707">
        <w:t xml:space="preserve"> of the above options would follow in RAN4</w:t>
      </w:r>
      <w:r>
        <w:t xml:space="preserve"> meetings prior to the November meeting</w:t>
      </w:r>
      <w:r w:rsidR="00FF2707">
        <w:t xml:space="preserve">. </w:t>
      </w:r>
      <w:r w:rsidR="00F3200C">
        <w:t xml:space="preserve">Another element that needs to be considered is the impact of UE beamforming on the derivation of the ACLR/ACS requirements for BS and UE. With UE beamforming in place, coexistence between adjacent networks is more favourable since the UE added directivity components leads to higher received signal power. However, this comes with the cost of design and complexity at the UE side. Since discussion on UE beamforming is still ongoing, we propose to investigate in the adjacent channel coexistence </w:t>
      </w:r>
      <w:r w:rsidR="004B3DF6">
        <w:t xml:space="preserve">framework </w:t>
      </w:r>
      <w:r w:rsidR="002F1EB5">
        <w:t xml:space="preserve">the two cases: </w:t>
      </w:r>
      <w:r w:rsidR="004B3DF6">
        <w:t xml:space="preserve">UE with and without beamforming. </w:t>
      </w:r>
    </w:p>
    <w:p w14:paraId="1CF39400" w14:textId="55EB5E77" w:rsidR="000A2E2B" w:rsidRPr="00ED4DA0" w:rsidRDefault="009E5EBF" w:rsidP="000A2E2B">
      <w:r>
        <w:t xml:space="preserve">The “FR1 like” option agreed in [2] has two flavours, firstly within no Rx diversity gain, which follows that of TR 38.921 where an isotropic omnidirectional antenna with 0 dBi. The second “FR1 like” option considers a 5dBi gain resulting from 6 dBi gain assuming 4Rx and 1 dB losses. We have some concerns with those two options that are </w:t>
      </w:r>
      <w:r>
        <w:lastRenderedPageBreak/>
        <w:t xml:space="preserve">clarified below. For the 0 dBi isotropic assumption with 0 dBi Rx diversity, such a configuration paints a quite pessimistic line on the UE antenna performance, </w:t>
      </w:r>
      <w:proofErr w:type="gramStart"/>
      <w:r>
        <w:t>where,</w:t>
      </w:r>
      <w:proofErr w:type="gramEnd"/>
      <w:r>
        <w:t xml:space="preserve"> some UE gain is expected to be observed. </w:t>
      </w:r>
      <w:r w:rsidR="007B11C2">
        <w:t>Moreover, UEs rarely have a single antenna element in a band</w:t>
      </w:r>
      <w:r w:rsidR="00955EC8">
        <w:t xml:space="preserve">. </w:t>
      </w:r>
      <w:r w:rsidR="000A2E2B">
        <w:t>To provide a realistic model for the “FR1-like” UE beamforming case, as a compromise between the two options captured in [2], it is viable to consider a notion of directionality at the UE</w:t>
      </w:r>
      <w:r w:rsidR="008E59DF">
        <w:t xml:space="preserve"> as well as selection diversity between two single elements rather the receiver diversity option that was considered in RAN4#111.</w:t>
      </w:r>
      <w:r w:rsidR="000A2E2B">
        <w:t xml:space="preserve"> This can be realized by considering a single</w:t>
      </w:r>
      <w:r w:rsidR="00560B74">
        <w:t xml:space="preserve"> or multiple spaced</w:t>
      </w:r>
      <w:r w:rsidR="000A2E2B">
        <w:t xml:space="preserve"> antenna element</w:t>
      </w:r>
      <w:r w:rsidR="00560B74">
        <w:t>s</w:t>
      </w:r>
      <w:r w:rsidR="000A2E2B">
        <w:t xml:space="preserve"> at the UE with r</w:t>
      </w:r>
      <w:r w:rsidR="000A2E2B" w:rsidRPr="00D44FDB">
        <w:t>andom orientation in the azimuth domain</w:t>
      </w:r>
      <w:r w:rsidR="000A2E2B">
        <w:t xml:space="preserve">, uniformly distributed between -90 and 90 degrees (i.e., similar to TR 38.803). </w:t>
      </w:r>
    </w:p>
    <w:p w14:paraId="47819898" w14:textId="5A917F00" w:rsidR="000A2E2B" w:rsidRDefault="000A2E2B" w:rsidP="000A2E2B">
      <w:pPr>
        <w:rPr>
          <w:b/>
          <w:bCs/>
        </w:rPr>
      </w:pPr>
      <w:r w:rsidRPr="005F5AE9">
        <w:rPr>
          <w:b/>
          <w:bCs/>
          <w:u w:val="single"/>
        </w:rPr>
        <w:t xml:space="preserve">Proposal </w:t>
      </w:r>
      <w:r w:rsidR="00ED0FE5">
        <w:rPr>
          <w:b/>
          <w:bCs/>
          <w:u w:val="single"/>
        </w:rPr>
        <w:t>5</w:t>
      </w:r>
      <w:r w:rsidRPr="000F2C8D">
        <w:rPr>
          <w:b/>
          <w:bCs/>
        </w:rPr>
        <w:t xml:space="preserve">: As an alternative option for the “FR1-like UE BF”, RAN4 to consider UE with a single antenna element at the UE with random orientation in the azimuth domain, uniformly distributed between -90 and 90 degrees. </w:t>
      </w:r>
    </w:p>
    <w:p w14:paraId="2C00E2BF" w14:textId="0882FDE7" w:rsidR="00EC59A5" w:rsidRPr="005F5AE9" w:rsidRDefault="00EC59A5" w:rsidP="00EC59A5">
      <w:pPr>
        <w:rPr>
          <w:b/>
          <w:bCs/>
        </w:rPr>
      </w:pPr>
      <w:r w:rsidRPr="002322F4">
        <w:t xml:space="preserve">For the FR2 options, several companies have conveyed their concern during RAN4#111 on the feasibility of having 2x2 modules in the FR3 frequency range due to the antenna size. </w:t>
      </w:r>
      <w:r>
        <w:t xml:space="preserve">To address such concerns, we propose to revisit the “FR2-like” proposal to consider 1x2 array at each panel instead of 2x2 array. </w:t>
      </w:r>
      <w:r w:rsidR="00EA26E5">
        <w:t>A 1x2 array can be designed to fit into the same outline as existing FR2-1 an</w:t>
      </w:r>
      <w:r w:rsidR="00F704A6">
        <w:t xml:space="preserve">tenna modules. </w:t>
      </w:r>
      <w:r>
        <w:t xml:space="preserve">Such a compromise will address the array size concern will </w:t>
      </w:r>
      <w:proofErr w:type="gramStart"/>
      <w:r>
        <w:t>still keeps</w:t>
      </w:r>
      <w:proofErr w:type="gramEnd"/>
      <w:r>
        <w:t xml:space="preserve"> the BF capability at the UE side from a system-level perspective. </w:t>
      </w:r>
    </w:p>
    <w:p w14:paraId="645E2303" w14:textId="220193C4" w:rsidR="00395352" w:rsidRPr="00947EAE" w:rsidRDefault="00EC59A5" w:rsidP="003851E0">
      <w:pPr>
        <w:rPr>
          <w:b/>
          <w:bCs/>
        </w:rPr>
      </w:pPr>
      <w:r w:rsidRPr="005F5AE9">
        <w:rPr>
          <w:b/>
          <w:bCs/>
          <w:u w:val="single"/>
        </w:rPr>
        <w:t xml:space="preserve">Proposal </w:t>
      </w:r>
      <w:r w:rsidR="00ED0FE5">
        <w:rPr>
          <w:b/>
          <w:bCs/>
          <w:u w:val="single"/>
        </w:rPr>
        <w:t>6</w:t>
      </w:r>
      <w:r w:rsidRPr="005F5AE9">
        <w:rPr>
          <w:b/>
          <w:bCs/>
        </w:rPr>
        <w:t>: As an alternative option for the “FR2-like UE BF”, RAN4 to consider two panels, with each having 1x2 array.</w:t>
      </w:r>
    </w:p>
    <w:p w14:paraId="06A0DFA8" w14:textId="3C684BD5" w:rsidR="000F117D" w:rsidRDefault="000F117D">
      <w:pPr>
        <w:pStyle w:val="Heading2"/>
      </w:pPr>
      <w:r>
        <w:t>2.5 Preliminary results</w:t>
      </w:r>
    </w:p>
    <w:p w14:paraId="58235624" w14:textId="5766957A" w:rsidR="00C53F8D" w:rsidRDefault="00C53F8D" w:rsidP="00C53F8D">
      <w:r>
        <w:t>In this contribution we present our preliminary results based on the set of parameters given in Table 1 below.</w:t>
      </w:r>
      <w:r w:rsidR="0071630B">
        <w:t xml:space="preserve"> </w:t>
      </w:r>
      <w:r w:rsidR="00C61777" w:rsidRPr="002072E2">
        <w:rPr>
          <w:lang w:eastAsia="zh-CN"/>
        </w:rPr>
        <w:t xml:space="preserve">In addition, we follow the simulation methodology </w:t>
      </w:r>
      <w:r w:rsidR="00C61777">
        <w:rPr>
          <w:lang w:eastAsia="zh-CN"/>
        </w:rPr>
        <w:t>described in</w:t>
      </w:r>
      <w:r w:rsidR="00C61777" w:rsidRPr="002072E2">
        <w:rPr>
          <w:lang w:eastAsia="zh-CN"/>
        </w:rPr>
        <w:t xml:space="preserve"> Section </w:t>
      </w:r>
      <w:r w:rsidR="003B323A">
        <w:rPr>
          <w:lang w:eastAsia="zh-CN"/>
        </w:rPr>
        <w:t>4</w:t>
      </w:r>
      <w:r w:rsidR="00C61777" w:rsidRPr="002072E2">
        <w:rPr>
          <w:lang w:eastAsia="zh-CN"/>
        </w:rPr>
        <w:t xml:space="preserve"> in [</w:t>
      </w:r>
      <w:r w:rsidR="003B323A">
        <w:rPr>
          <w:lang w:eastAsia="zh-CN"/>
        </w:rPr>
        <w:t>3</w:t>
      </w:r>
      <w:r w:rsidR="00C61777">
        <w:rPr>
          <w:lang w:eastAsia="zh-CN"/>
        </w:rPr>
        <w:t>]</w:t>
      </w:r>
      <w:r w:rsidR="00C61777" w:rsidRPr="002072E2">
        <w:rPr>
          <w:lang w:eastAsia="zh-CN"/>
        </w:rPr>
        <w:t xml:space="preserve">, where </w:t>
      </w:r>
      <w:r w:rsidR="00C61777">
        <w:rPr>
          <w:lang w:eastAsia="zh-CN"/>
        </w:rPr>
        <w:t xml:space="preserve">the </w:t>
      </w:r>
      <w:r w:rsidR="00C61777" w:rsidRPr="002072E2">
        <w:rPr>
          <w:lang w:eastAsia="zh-CN"/>
        </w:rPr>
        <w:t xml:space="preserve">RF parameters </w:t>
      </w:r>
      <w:r w:rsidR="003B323A">
        <w:rPr>
          <w:lang w:eastAsia="zh-CN"/>
        </w:rPr>
        <w:t xml:space="preserve">(i.e., ACLR/ACS) </w:t>
      </w:r>
      <w:r w:rsidR="00C61777" w:rsidRPr="002072E2">
        <w:rPr>
          <w:lang w:eastAsia="zh-CN"/>
        </w:rPr>
        <w:t>are determined based on the degradation cause by adjacent channel interference (ACI).</w:t>
      </w:r>
    </w:p>
    <w:p w14:paraId="5160AE4C" w14:textId="77777777" w:rsidR="00C53F8D" w:rsidRDefault="00C53F8D" w:rsidP="00C53F8D">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Adjacent channel coexistence for 14Ghz</w:t>
      </w:r>
    </w:p>
    <w:tbl>
      <w:tblPr>
        <w:tblStyle w:val="GridTable1Light"/>
        <w:tblW w:w="10080" w:type="dxa"/>
        <w:tblLook w:val="04A0" w:firstRow="1" w:lastRow="0" w:firstColumn="1" w:lastColumn="0" w:noHBand="0" w:noVBand="1"/>
      </w:tblPr>
      <w:tblGrid>
        <w:gridCol w:w="2339"/>
        <w:gridCol w:w="4334"/>
        <w:gridCol w:w="3407"/>
      </w:tblGrid>
      <w:tr w:rsidR="00C53F8D" w:rsidRPr="005B34C7" w14:paraId="58A0CA65" w14:textId="77777777" w:rsidTr="000141D6">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339" w:type="dxa"/>
            <w:vMerge w:val="restart"/>
            <w:hideMark/>
          </w:tcPr>
          <w:p w14:paraId="050B8D27" w14:textId="77777777" w:rsidR="00C53F8D" w:rsidRPr="005B34C7" w:rsidRDefault="00C53F8D" w:rsidP="000141D6">
            <w:pPr>
              <w:pStyle w:val="Heading2"/>
              <w:spacing w:before="0" w:after="0"/>
              <w:rPr>
                <w:rFonts w:ascii="Times New Roman" w:hAnsi="Times New Roman"/>
                <w:sz w:val="20"/>
                <w:lang w:val="en-US" w:eastAsia="ja-JP"/>
              </w:rPr>
            </w:pPr>
            <w:r w:rsidRPr="005B34C7">
              <w:rPr>
                <w:rFonts w:ascii="Times New Roman" w:hAnsi="Times New Roman"/>
                <w:sz w:val="20"/>
                <w:lang w:eastAsia="ja-JP"/>
              </w:rPr>
              <w:t>System Parameters</w:t>
            </w:r>
          </w:p>
        </w:tc>
        <w:tc>
          <w:tcPr>
            <w:tcW w:w="4334" w:type="dxa"/>
            <w:hideMark/>
          </w:tcPr>
          <w:p w14:paraId="2732C818" w14:textId="77777777" w:rsidR="00C53F8D" w:rsidRPr="005B34C7" w:rsidRDefault="00C53F8D" w:rsidP="000141D6">
            <w:pPr>
              <w:pStyle w:val="Heading2"/>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Parameter</w:t>
            </w:r>
          </w:p>
        </w:tc>
        <w:tc>
          <w:tcPr>
            <w:tcW w:w="3407" w:type="dxa"/>
            <w:hideMark/>
          </w:tcPr>
          <w:p w14:paraId="6232F9AA" w14:textId="77777777" w:rsidR="00C53F8D" w:rsidRPr="005B34C7" w:rsidRDefault="00C53F8D" w:rsidP="000141D6">
            <w:pPr>
              <w:pStyle w:val="Heading2"/>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Value</w:t>
            </w:r>
          </w:p>
        </w:tc>
      </w:tr>
      <w:tr w:rsidR="00C53F8D" w:rsidRPr="005B34C7" w14:paraId="0301D378"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B816427"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1DEBEF62"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Carrier frequency</w:t>
            </w:r>
          </w:p>
        </w:tc>
        <w:tc>
          <w:tcPr>
            <w:tcW w:w="3407" w:type="dxa"/>
            <w:hideMark/>
          </w:tcPr>
          <w:p w14:paraId="7F4B3374"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14 GHz</w:t>
            </w:r>
          </w:p>
        </w:tc>
      </w:tr>
      <w:tr w:rsidR="00C53F8D" w:rsidRPr="005B34C7" w14:paraId="6812382A"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781A4C7A"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23F4D2C5"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Deployment</w:t>
            </w:r>
          </w:p>
        </w:tc>
        <w:tc>
          <w:tcPr>
            <w:tcW w:w="3407" w:type="dxa"/>
            <w:hideMark/>
          </w:tcPr>
          <w:p w14:paraId="02469015"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Urban Macro</w:t>
            </w:r>
          </w:p>
        </w:tc>
      </w:tr>
      <w:tr w:rsidR="00C53F8D" w:rsidRPr="005B34C7" w14:paraId="114BD058"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1E01887E"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3BDDFD1A"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Channel BW</w:t>
            </w:r>
          </w:p>
        </w:tc>
        <w:tc>
          <w:tcPr>
            <w:tcW w:w="3407" w:type="dxa"/>
            <w:hideMark/>
          </w:tcPr>
          <w:p w14:paraId="4E43922E"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200 MHz</w:t>
            </w:r>
          </w:p>
        </w:tc>
      </w:tr>
      <w:tr w:rsidR="00C53F8D" w:rsidRPr="005B34C7" w14:paraId="7E5B432F"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4848D72"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0C332137"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Number of active UE per TTI</w:t>
            </w:r>
          </w:p>
        </w:tc>
        <w:tc>
          <w:tcPr>
            <w:tcW w:w="3407" w:type="dxa"/>
            <w:hideMark/>
          </w:tcPr>
          <w:p w14:paraId="208DE372"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1</w:t>
            </w:r>
          </w:p>
        </w:tc>
      </w:tr>
      <w:tr w:rsidR="00C53F8D" w:rsidRPr="005B34C7" w14:paraId="4E3A0C01"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0E2D59D0"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7CDB3E3A"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ISD</w:t>
            </w:r>
          </w:p>
        </w:tc>
        <w:tc>
          <w:tcPr>
            <w:tcW w:w="3407" w:type="dxa"/>
            <w:hideMark/>
          </w:tcPr>
          <w:p w14:paraId="01EF23B8"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450 meters</w:t>
            </w:r>
          </w:p>
        </w:tc>
      </w:tr>
      <w:tr w:rsidR="00C53F8D" w:rsidRPr="005B34C7" w14:paraId="276DFD67"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tcPr>
          <w:p w14:paraId="23EB6B1E"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tcPr>
          <w:p w14:paraId="197925D5"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Pr>
                <w:rFonts w:ascii="Times New Roman" w:hAnsi="Times New Roman"/>
                <w:sz w:val="20"/>
                <w:lang w:val="en-US" w:eastAsia="ja-JP"/>
              </w:rPr>
              <w:t>Grid shift</w:t>
            </w:r>
          </w:p>
        </w:tc>
        <w:tc>
          <w:tcPr>
            <w:tcW w:w="3407" w:type="dxa"/>
          </w:tcPr>
          <w:p w14:paraId="57AD1E3D"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Pr>
                <w:rFonts w:ascii="Times New Roman" w:hAnsi="Times New Roman"/>
                <w:sz w:val="20"/>
                <w:lang w:val="en-US" w:eastAsia="ja-JP"/>
              </w:rPr>
              <w:t>Un-coordinated scenario</w:t>
            </w:r>
          </w:p>
        </w:tc>
      </w:tr>
      <w:tr w:rsidR="00C53F8D" w:rsidRPr="005B34C7" w14:paraId="4EC4A4C9"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tcPr>
          <w:p w14:paraId="419F19D5"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tcPr>
          <w:p w14:paraId="0FAEC9D0" w14:textId="77777777" w:rsidR="00C53F8D"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UE to BS minimum distance</w:t>
            </w:r>
          </w:p>
        </w:tc>
        <w:tc>
          <w:tcPr>
            <w:tcW w:w="3407" w:type="dxa"/>
          </w:tcPr>
          <w:p w14:paraId="3F80E457" w14:textId="77777777" w:rsidR="00C53F8D"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35 meters</w:t>
            </w:r>
          </w:p>
        </w:tc>
      </w:tr>
      <w:tr w:rsidR="00C53F8D" w:rsidRPr="005B34C7" w14:paraId="76366DD6" w14:textId="77777777" w:rsidTr="000141D6">
        <w:trPr>
          <w:trHeight w:val="749"/>
        </w:trPr>
        <w:tc>
          <w:tcPr>
            <w:cnfStyle w:val="001000000000" w:firstRow="0" w:lastRow="0" w:firstColumn="1" w:lastColumn="0" w:oddVBand="0" w:evenVBand="0" w:oddHBand="0" w:evenHBand="0" w:firstRowFirstColumn="0" w:firstRowLastColumn="0" w:lastRowFirstColumn="0" w:lastRowLastColumn="0"/>
            <w:tcW w:w="2339" w:type="dxa"/>
            <w:vMerge w:val="restart"/>
            <w:hideMark/>
          </w:tcPr>
          <w:p w14:paraId="68F2A249" w14:textId="77777777" w:rsidR="00C53F8D" w:rsidRPr="005B34C7" w:rsidRDefault="00C53F8D" w:rsidP="000141D6">
            <w:pPr>
              <w:pStyle w:val="Heading2"/>
              <w:spacing w:before="0" w:after="0"/>
              <w:rPr>
                <w:rFonts w:ascii="Times New Roman" w:hAnsi="Times New Roman"/>
                <w:sz w:val="20"/>
                <w:lang w:val="en-US" w:eastAsia="ja-JP"/>
              </w:rPr>
            </w:pPr>
            <w:r w:rsidRPr="005B34C7">
              <w:rPr>
                <w:rFonts w:ascii="Times New Roman" w:hAnsi="Times New Roman"/>
                <w:sz w:val="20"/>
                <w:lang w:eastAsia="ja-JP"/>
              </w:rPr>
              <w:t>BS</w:t>
            </w:r>
          </w:p>
        </w:tc>
        <w:tc>
          <w:tcPr>
            <w:tcW w:w="4334" w:type="dxa"/>
            <w:hideMark/>
          </w:tcPr>
          <w:p w14:paraId="3F48C09B"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BS Antenna Configuration</w:t>
            </w:r>
          </w:p>
          <w:p w14:paraId="6511DE56"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(M</w:t>
            </w:r>
            <w:r w:rsidRPr="005B34C7">
              <w:rPr>
                <w:rFonts w:ascii="Times New Roman" w:hAnsi="Times New Roman"/>
                <w:sz w:val="20"/>
                <w:vertAlign w:val="subscript"/>
                <w:lang w:eastAsia="ja-JP"/>
              </w:rPr>
              <w:t>g</w:t>
            </w:r>
            <w:r w:rsidRPr="005B34C7">
              <w:rPr>
                <w:rFonts w:ascii="Times New Roman" w:hAnsi="Times New Roman"/>
                <w:sz w:val="20"/>
                <w:lang w:eastAsia="ja-JP"/>
              </w:rPr>
              <w:t>, N</w:t>
            </w:r>
            <w:r w:rsidRPr="005B34C7">
              <w:rPr>
                <w:rFonts w:ascii="Times New Roman" w:hAnsi="Times New Roman"/>
                <w:sz w:val="20"/>
                <w:vertAlign w:val="subscript"/>
                <w:lang w:eastAsia="ja-JP"/>
              </w:rPr>
              <w:t>g</w:t>
            </w:r>
            <w:r w:rsidRPr="005B34C7">
              <w:rPr>
                <w:rFonts w:ascii="Times New Roman" w:hAnsi="Times New Roman"/>
                <w:sz w:val="20"/>
                <w:lang w:eastAsia="ja-JP"/>
              </w:rPr>
              <w:t xml:space="preserve">, M, N, P) </w:t>
            </w:r>
          </w:p>
        </w:tc>
        <w:tc>
          <w:tcPr>
            <w:tcW w:w="3407" w:type="dxa"/>
            <w:hideMark/>
          </w:tcPr>
          <w:p w14:paraId="798B75E3"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(1,1,32, 32,2)</w:t>
            </w:r>
          </w:p>
        </w:tc>
      </w:tr>
      <w:tr w:rsidR="00C53F8D" w:rsidRPr="005B34C7" w14:paraId="5B466F0E"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120ABFF"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7D7315D9"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(d</w:t>
            </w:r>
            <w:r w:rsidRPr="005B34C7">
              <w:rPr>
                <w:rFonts w:ascii="Times New Roman" w:hAnsi="Times New Roman"/>
                <w:sz w:val="20"/>
                <w:vertAlign w:val="subscript"/>
                <w:lang w:eastAsia="ja-JP"/>
              </w:rPr>
              <w:t>v</w:t>
            </w:r>
            <w:r w:rsidRPr="005B34C7">
              <w:rPr>
                <w:rFonts w:ascii="Times New Roman" w:hAnsi="Times New Roman"/>
                <w:sz w:val="20"/>
                <w:lang w:eastAsia="ja-JP"/>
              </w:rPr>
              <w:t>, d</w:t>
            </w:r>
            <w:r w:rsidRPr="005B34C7">
              <w:rPr>
                <w:rFonts w:ascii="Times New Roman" w:hAnsi="Times New Roman"/>
                <w:sz w:val="20"/>
                <w:vertAlign w:val="subscript"/>
                <w:lang w:eastAsia="ja-JP"/>
              </w:rPr>
              <w:t>h</w:t>
            </w:r>
            <w:r w:rsidRPr="005B34C7">
              <w:rPr>
                <w:rFonts w:ascii="Times New Roman" w:hAnsi="Times New Roman"/>
                <w:sz w:val="20"/>
                <w:lang w:eastAsia="ja-JP"/>
              </w:rPr>
              <w:t>)</w:t>
            </w:r>
          </w:p>
        </w:tc>
        <w:tc>
          <w:tcPr>
            <w:tcW w:w="3407" w:type="dxa"/>
            <w:hideMark/>
          </w:tcPr>
          <w:p w14:paraId="431A1939"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(0.5λ, 0.5λ)</w:t>
            </w:r>
          </w:p>
        </w:tc>
      </w:tr>
      <w:tr w:rsidR="00C53F8D" w:rsidRPr="005B34C7" w14:paraId="774F1655"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381F53A3"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24D86F1B"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Antenna element gain</w:t>
            </w:r>
          </w:p>
        </w:tc>
        <w:tc>
          <w:tcPr>
            <w:tcW w:w="3407" w:type="dxa"/>
            <w:hideMark/>
          </w:tcPr>
          <w:p w14:paraId="1E2B1EF3"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5.5 dBi</w:t>
            </w:r>
          </w:p>
        </w:tc>
      </w:tr>
      <w:tr w:rsidR="00C53F8D" w:rsidRPr="005B34C7" w14:paraId="0B567D8F"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3018B4B7"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3ED99172"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Maximum array gain</w:t>
            </w:r>
          </w:p>
        </w:tc>
        <w:tc>
          <w:tcPr>
            <w:tcW w:w="3407" w:type="dxa"/>
            <w:hideMark/>
          </w:tcPr>
          <w:p w14:paraId="3BAD8866"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36 dBi</w:t>
            </w:r>
          </w:p>
        </w:tc>
      </w:tr>
      <w:tr w:rsidR="00C53F8D" w:rsidRPr="005B34C7" w14:paraId="5F2816F9"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101B9BE3"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0E380B24"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Antenna element radiation pattern</w:t>
            </w:r>
          </w:p>
        </w:tc>
        <w:tc>
          <w:tcPr>
            <w:tcW w:w="3407" w:type="dxa"/>
            <w:hideMark/>
          </w:tcPr>
          <w:p w14:paraId="171015FC"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ITU-R M.2101 AAS model</w:t>
            </w:r>
          </w:p>
        </w:tc>
      </w:tr>
      <w:tr w:rsidR="00C53F8D" w:rsidRPr="005B34C7" w14:paraId="28AE8E6F"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00631AA"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28AC0D1E"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 xml:space="preserve">Max Tx conducted power </w:t>
            </w:r>
            <w:r>
              <w:rPr>
                <w:rFonts w:ascii="Times New Roman" w:hAnsi="Times New Roman"/>
                <w:sz w:val="20"/>
                <w:lang w:eastAsia="ja-JP"/>
              </w:rPr>
              <w:t>(per polarization)</w:t>
            </w:r>
          </w:p>
        </w:tc>
        <w:tc>
          <w:tcPr>
            <w:tcW w:w="3407" w:type="dxa"/>
            <w:hideMark/>
          </w:tcPr>
          <w:p w14:paraId="6B8000E0"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4</w:t>
            </w:r>
            <w:r>
              <w:rPr>
                <w:rFonts w:ascii="Times New Roman" w:hAnsi="Times New Roman"/>
                <w:sz w:val="20"/>
                <w:lang w:eastAsia="ja-JP"/>
              </w:rPr>
              <w:t>3</w:t>
            </w:r>
            <w:r w:rsidRPr="005B34C7">
              <w:rPr>
                <w:rFonts w:ascii="Times New Roman" w:hAnsi="Times New Roman"/>
                <w:sz w:val="20"/>
                <w:lang w:eastAsia="ja-JP"/>
              </w:rPr>
              <w:t xml:space="preserve"> dBm</w:t>
            </w:r>
          </w:p>
        </w:tc>
      </w:tr>
      <w:tr w:rsidR="00C53F8D" w:rsidRPr="005B34C7" w14:paraId="5CD4AF3B"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4B9AF1F2"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12409E8B"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 xml:space="preserve">EIRP </w:t>
            </w:r>
          </w:p>
        </w:tc>
        <w:tc>
          <w:tcPr>
            <w:tcW w:w="3407" w:type="dxa"/>
            <w:hideMark/>
          </w:tcPr>
          <w:p w14:paraId="540EF4DD"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~81.5 dBm</w:t>
            </w:r>
          </w:p>
        </w:tc>
      </w:tr>
      <w:tr w:rsidR="00C53F8D" w:rsidRPr="005B34C7" w14:paraId="22EF2BEB" w14:textId="77777777" w:rsidTr="000141D6">
        <w:trPr>
          <w:trHeight w:val="373"/>
        </w:trPr>
        <w:tc>
          <w:tcPr>
            <w:cnfStyle w:val="001000000000" w:firstRow="0" w:lastRow="0" w:firstColumn="1" w:lastColumn="0" w:oddVBand="0" w:evenVBand="0" w:oddHBand="0" w:evenHBand="0" w:firstRowFirstColumn="0" w:firstRowLastColumn="0" w:lastRowFirstColumn="0" w:lastRowLastColumn="0"/>
            <w:tcW w:w="0" w:type="auto"/>
            <w:vMerge/>
            <w:hideMark/>
          </w:tcPr>
          <w:p w14:paraId="66534851"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240A3C1F"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 xml:space="preserve">Noise figure </w:t>
            </w:r>
          </w:p>
        </w:tc>
        <w:tc>
          <w:tcPr>
            <w:tcW w:w="3407" w:type="dxa"/>
            <w:hideMark/>
          </w:tcPr>
          <w:p w14:paraId="37B12BEE"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8 dB</w:t>
            </w:r>
          </w:p>
        </w:tc>
      </w:tr>
      <w:tr w:rsidR="00C53F8D" w:rsidRPr="005B34C7" w14:paraId="63F23D87" w14:textId="77777777" w:rsidTr="000141D6">
        <w:trPr>
          <w:trHeight w:val="579"/>
        </w:trPr>
        <w:tc>
          <w:tcPr>
            <w:cnfStyle w:val="001000000000" w:firstRow="0" w:lastRow="0" w:firstColumn="1" w:lastColumn="0" w:oddVBand="0" w:evenVBand="0" w:oddHBand="0" w:evenHBand="0" w:firstRowFirstColumn="0" w:firstRowLastColumn="0" w:lastRowFirstColumn="0" w:lastRowLastColumn="0"/>
            <w:tcW w:w="2339" w:type="dxa"/>
            <w:vMerge w:val="restart"/>
            <w:hideMark/>
          </w:tcPr>
          <w:p w14:paraId="4C74A3C6" w14:textId="77777777" w:rsidR="00C53F8D" w:rsidRPr="005B34C7" w:rsidRDefault="00C53F8D" w:rsidP="000141D6">
            <w:pPr>
              <w:pStyle w:val="Heading2"/>
              <w:spacing w:before="0" w:after="0"/>
              <w:rPr>
                <w:rFonts w:ascii="Times New Roman" w:hAnsi="Times New Roman"/>
                <w:sz w:val="20"/>
                <w:lang w:val="en-US" w:eastAsia="ja-JP"/>
              </w:rPr>
            </w:pPr>
            <w:r w:rsidRPr="005B34C7">
              <w:rPr>
                <w:rFonts w:ascii="Times New Roman" w:hAnsi="Times New Roman"/>
                <w:sz w:val="20"/>
                <w:lang w:eastAsia="ja-JP"/>
              </w:rPr>
              <w:t>UE</w:t>
            </w:r>
          </w:p>
        </w:tc>
        <w:tc>
          <w:tcPr>
            <w:tcW w:w="4334" w:type="dxa"/>
            <w:hideMark/>
          </w:tcPr>
          <w:p w14:paraId="31BBAEC2"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UE antenna characteristics</w:t>
            </w:r>
          </w:p>
        </w:tc>
        <w:tc>
          <w:tcPr>
            <w:tcW w:w="3407" w:type="dxa"/>
            <w:hideMark/>
          </w:tcPr>
          <w:p w14:paraId="1F24DAFF" w14:textId="1808C16C" w:rsidR="00C53F8D" w:rsidRPr="005B34C7" w:rsidRDefault="00424C73" w:rsidP="000141D6">
            <w:pP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 xml:space="preserve">Several </w:t>
            </w:r>
            <w:r w:rsidR="00140669">
              <w:rPr>
                <w:lang w:val="en-US" w:eastAsia="ja-JP"/>
              </w:rPr>
              <w:t xml:space="preserve">UE beamforming settings considered (See Figure 2). </w:t>
            </w:r>
          </w:p>
        </w:tc>
      </w:tr>
      <w:tr w:rsidR="00C53F8D" w:rsidRPr="005B34C7" w14:paraId="78A423F1"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5F2F5C87"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36FD83E1"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Antenna element gain</w:t>
            </w:r>
          </w:p>
        </w:tc>
        <w:tc>
          <w:tcPr>
            <w:tcW w:w="3407" w:type="dxa"/>
            <w:hideMark/>
          </w:tcPr>
          <w:p w14:paraId="36B92A9A"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5 dBi</w:t>
            </w:r>
          </w:p>
        </w:tc>
      </w:tr>
      <w:tr w:rsidR="00C53F8D" w:rsidRPr="005B34C7" w14:paraId="4BF4447E" w14:textId="77777777" w:rsidTr="000141D6">
        <w:trPr>
          <w:trHeight w:val="468"/>
        </w:trPr>
        <w:tc>
          <w:tcPr>
            <w:cnfStyle w:val="001000000000" w:firstRow="0" w:lastRow="0" w:firstColumn="1" w:lastColumn="0" w:oddVBand="0" w:evenVBand="0" w:oddHBand="0" w:evenHBand="0" w:firstRowFirstColumn="0" w:firstRowLastColumn="0" w:lastRowFirstColumn="0" w:lastRowLastColumn="0"/>
            <w:tcW w:w="0" w:type="auto"/>
            <w:vMerge/>
            <w:hideMark/>
          </w:tcPr>
          <w:p w14:paraId="4C03D820"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4A871BF7"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Max conducted power</w:t>
            </w:r>
          </w:p>
        </w:tc>
        <w:tc>
          <w:tcPr>
            <w:tcW w:w="3407" w:type="dxa"/>
            <w:hideMark/>
          </w:tcPr>
          <w:p w14:paraId="3C48B27D"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eastAsia="ja-JP"/>
              </w:rPr>
              <w:t>23 and 26 dBm</w:t>
            </w:r>
          </w:p>
        </w:tc>
      </w:tr>
      <w:tr w:rsidR="00C53F8D" w:rsidRPr="005B34C7" w14:paraId="402C75A6" w14:textId="77777777" w:rsidTr="000141D6">
        <w:trPr>
          <w:trHeight w:val="468"/>
        </w:trPr>
        <w:tc>
          <w:tcPr>
            <w:cnfStyle w:val="001000000000" w:firstRow="0" w:lastRow="0" w:firstColumn="1" w:lastColumn="0" w:oddVBand="0" w:evenVBand="0" w:oddHBand="0" w:evenHBand="0" w:firstRowFirstColumn="0" w:firstRowLastColumn="0" w:lastRowFirstColumn="0" w:lastRowLastColumn="0"/>
            <w:tcW w:w="0" w:type="auto"/>
            <w:vMerge/>
            <w:hideMark/>
          </w:tcPr>
          <w:p w14:paraId="74F482DE"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634D6A78"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Noise figure</w:t>
            </w:r>
          </w:p>
        </w:tc>
        <w:tc>
          <w:tcPr>
            <w:tcW w:w="3407" w:type="dxa"/>
            <w:hideMark/>
          </w:tcPr>
          <w:p w14:paraId="2BFA661F"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11 dB</w:t>
            </w:r>
          </w:p>
        </w:tc>
      </w:tr>
      <w:tr w:rsidR="00C53F8D" w:rsidRPr="005B34C7" w14:paraId="7711A46D" w14:textId="77777777" w:rsidTr="000141D6">
        <w:trPr>
          <w:trHeight w:val="677"/>
        </w:trPr>
        <w:tc>
          <w:tcPr>
            <w:cnfStyle w:val="001000000000" w:firstRow="0" w:lastRow="0" w:firstColumn="1" w:lastColumn="0" w:oddVBand="0" w:evenVBand="0" w:oddHBand="0" w:evenHBand="0" w:firstRowFirstColumn="0" w:firstRowLastColumn="0" w:lastRowFirstColumn="0" w:lastRowLastColumn="0"/>
            <w:tcW w:w="0" w:type="auto"/>
            <w:vMerge/>
            <w:hideMark/>
          </w:tcPr>
          <w:p w14:paraId="04AA389A"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hideMark/>
          </w:tcPr>
          <w:p w14:paraId="114A1083"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 xml:space="preserve">Target uplink SNR </w:t>
            </w:r>
          </w:p>
        </w:tc>
        <w:tc>
          <w:tcPr>
            <w:tcW w:w="3407" w:type="dxa"/>
            <w:hideMark/>
          </w:tcPr>
          <w:p w14:paraId="61683DA4"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5B34C7">
              <w:rPr>
                <w:rFonts w:ascii="Times New Roman" w:hAnsi="Times New Roman"/>
                <w:sz w:val="20"/>
                <w:lang w:val="en-US" w:eastAsia="ja-JP"/>
              </w:rPr>
              <w:t>15 dB</w:t>
            </w:r>
          </w:p>
        </w:tc>
      </w:tr>
      <w:tr w:rsidR="00C53F8D" w:rsidRPr="005B34C7" w14:paraId="39DBC4D1" w14:textId="77777777" w:rsidTr="000141D6">
        <w:trPr>
          <w:trHeight w:val="343"/>
        </w:trPr>
        <w:tc>
          <w:tcPr>
            <w:cnfStyle w:val="001000000000" w:firstRow="0" w:lastRow="0" w:firstColumn="1" w:lastColumn="0" w:oddVBand="0" w:evenVBand="0" w:oddHBand="0" w:evenHBand="0" w:firstRowFirstColumn="0" w:firstRowLastColumn="0" w:lastRowFirstColumn="0" w:lastRowLastColumn="0"/>
            <w:tcW w:w="0" w:type="auto"/>
            <w:vMerge/>
            <w:hideMark/>
          </w:tcPr>
          <w:p w14:paraId="7ADDE05B" w14:textId="77777777" w:rsidR="00C53F8D" w:rsidRPr="005B34C7" w:rsidRDefault="00C53F8D" w:rsidP="000141D6">
            <w:pPr>
              <w:pStyle w:val="Heading2"/>
              <w:spacing w:before="0" w:after="0"/>
              <w:rPr>
                <w:rFonts w:ascii="Times New Roman" w:hAnsi="Times New Roman"/>
                <w:sz w:val="20"/>
                <w:lang w:val="en-US" w:eastAsia="ja-JP"/>
              </w:rPr>
            </w:pPr>
          </w:p>
        </w:tc>
        <w:tc>
          <w:tcPr>
            <w:tcW w:w="4334" w:type="dxa"/>
          </w:tcPr>
          <w:p w14:paraId="2CF4FF84"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Pr>
                <w:rFonts w:ascii="Times New Roman" w:hAnsi="Times New Roman"/>
                <w:sz w:val="20"/>
                <w:lang w:val="en-US" w:eastAsia="ja-JP"/>
              </w:rPr>
              <w:t>Uplink power control</w:t>
            </w:r>
          </w:p>
        </w:tc>
        <w:tc>
          <w:tcPr>
            <w:tcW w:w="3407" w:type="dxa"/>
          </w:tcPr>
          <w:p w14:paraId="4DFB398D" w14:textId="77777777" w:rsidR="00C53F8D" w:rsidRPr="005B34C7" w:rsidRDefault="00C53F8D" w:rsidP="000141D6">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Pr>
                <w:rFonts w:ascii="Times New Roman" w:hAnsi="Times New Roman"/>
                <w:sz w:val="20"/>
                <w:lang w:val="en-US" w:eastAsia="ja-JP"/>
              </w:rPr>
              <w:t>Adjusted to meet UL SNR target</w:t>
            </w:r>
          </w:p>
        </w:tc>
      </w:tr>
    </w:tbl>
    <w:p w14:paraId="5492F8C5" w14:textId="77777777" w:rsidR="00C53F8D" w:rsidRPr="00C53F8D" w:rsidRDefault="00C53F8D" w:rsidP="00C53F8D"/>
    <w:p w14:paraId="255E8E7C" w14:textId="0FED15A1" w:rsidR="00C53F8D" w:rsidRDefault="00C53F8D" w:rsidP="00C53F8D">
      <w:pPr>
        <w:pStyle w:val="Heading3"/>
      </w:pPr>
      <w:r>
        <w:t>2.5.1</w:t>
      </w:r>
      <w:r>
        <w:tab/>
        <w:t xml:space="preserve">Impact of UE Beamforming </w:t>
      </w:r>
    </w:p>
    <w:p w14:paraId="4E337F47" w14:textId="0A22DA73" w:rsidR="00284321" w:rsidRDefault="00284321" w:rsidP="00284321">
      <w:r>
        <w:t xml:space="preserve">In this section we investigate the impact of different UE beamforming setting on the experienced throughput loss for the cell-edge and mean user performance in UMa scenarios. </w:t>
      </w:r>
      <w:r w:rsidR="00F41867">
        <w:t>Different UE beamforming settings are investigated in this contribution as shown in Figure 1</w:t>
      </w:r>
      <w:r w:rsidR="00B0492E">
        <w:t xml:space="preserve">, which are further explained below. </w:t>
      </w:r>
      <w:r w:rsidR="007E7112">
        <w:t xml:space="preserve">Figures with markers represent the new proposed models that were not captured in RAN4#111 WF [2]. </w:t>
      </w:r>
    </w:p>
    <w:p w14:paraId="19D2A3D4" w14:textId="3015FE3C" w:rsidR="00B0492E" w:rsidRDefault="00B0492E" w:rsidP="001C6FDE">
      <w:pPr>
        <w:pStyle w:val="ListParagraph"/>
        <w:numPr>
          <w:ilvl w:val="0"/>
          <w:numId w:val="11"/>
        </w:numPr>
        <w:spacing w:after="0"/>
        <w:ind w:left="714" w:hanging="357"/>
      </w:pPr>
      <w:r>
        <w:t xml:space="preserve">FR1 (option a): This represents the </w:t>
      </w:r>
      <w:r w:rsidR="000D163F">
        <w:t xml:space="preserve">FR1 case agreed in the WF with 0 dBi and no Rx diversity [2]. </w:t>
      </w:r>
    </w:p>
    <w:p w14:paraId="30AE8151" w14:textId="76B2D6BE" w:rsidR="000D163F" w:rsidRDefault="000D163F" w:rsidP="001C6FDE">
      <w:pPr>
        <w:pStyle w:val="ListParagraph"/>
        <w:numPr>
          <w:ilvl w:val="0"/>
          <w:numId w:val="11"/>
        </w:numPr>
        <w:spacing w:after="0"/>
        <w:ind w:left="714" w:hanging="357"/>
      </w:pPr>
      <w:r>
        <w:t>FR2 (option a): This represents the FR2 case agreed in the WF [2].</w:t>
      </w:r>
    </w:p>
    <w:p w14:paraId="2F220F64" w14:textId="45A95248" w:rsidR="000D163F" w:rsidRDefault="000D163F" w:rsidP="001C6FDE">
      <w:pPr>
        <w:pStyle w:val="ListParagraph"/>
        <w:numPr>
          <w:ilvl w:val="0"/>
          <w:numId w:val="11"/>
        </w:numPr>
        <w:spacing w:after="0"/>
        <w:ind w:left="714" w:hanging="357"/>
      </w:pPr>
      <w:r>
        <w:t xml:space="preserve">FR1 (option b): This represents </w:t>
      </w:r>
      <w:r w:rsidR="001C6FDE">
        <w:t>a proposed compromise to the agreed FR1 like option in [2]</w:t>
      </w:r>
      <w:r w:rsidR="007475CD">
        <w:t xml:space="preserve">. </w:t>
      </w:r>
      <w:r w:rsidR="001C6FDE">
        <w:t xml:space="preserve"> </w:t>
      </w:r>
    </w:p>
    <w:p w14:paraId="1430A118" w14:textId="6CF3571B" w:rsidR="001C6FDE" w:rsidRDefault="001C6FDE" w:rsidP="001C6FDE">
      <w:pPr>
        <w:pStyle w:val="ListParagraph"/>
        <w:numPr>
          <w:ilvl w:val="0"/>
          <w:numId w:val="11"/>
        </w:numPr>
        <w:spacing w:after="0"/>
        <w:ind w:left="714" w:hanging="357"/>
      </w:pPr>
      <w:r>
        <w:t xml:space="preserve">FR2 (option b): This represents a proposed compromise to the agreed FR2 like option in [2]. </w:t>
      </w:r>
    </w:p>
    <w:p w14:paraId="6042C9A3" w14:textId="77777777" w:rsidR="001C6FDE" w:rsidRDefault="001C6FDE" w:rsidP="001C6FDE">
      <w:pPr>
        <w:pStyle w:val="ListParagraph"/>
        <w:spacing w:after="0"/>
        <w:ind w:left="714"/>
      </w:pPr>
    </w:p>
    <w:p w14:paraId="4D347435" w14:textId="234F0536" w:rsidR="00424C73" w:rsidRDefault="00D11DBA" w:rsidP="00424C73">
      <w:pPr>
        <w:keepNext/>
        <w:jc w:val="center"/>
      </w:pPr>
      <w:r>
        <w:rPr>
          <w:noProof/>
        </w:rPr>
        <w:lastRenderedPageBreak/>
        <w:drawing>
          <wp:inline distT="0" distB="0" distL="0" distR="0" wp14:anchorId="06EAE46B" wp14:editId="30C19265">
            <wp:extent cx="4631055" cy="878783"/>
            <wp:effectExtent l="0" t="0" r="0" b="0"/>
            <wp:docPr id="85606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6388" cy="883590"/>
                    </a:xfrm>
                    <a:prstGeom prst="rect">
                      <a:avLst/>
                    </a:prstGeom>
                    <a:noFill/>
                  </pic:spPr>
                </pic:pic>
              </a:graphicData>
            </a:graphic>
          </wp:inline>
        </w:drawing>
      </w:r>
    </w:p>
    <w:p w14:paraId="69B386E4" w14:textId="2EB577D2" w:rsidR="00F41867" w:rsidRDefault="00424C73" w:rsidP="00424C73">
      <w:pPr>
        <w:pStyle w:val="Caption"/>
        <w:jc w:val="center"/>
      </w:pPr>
      <w:r>
        <w:t xml:space="preserve">Figure </w:t>
      </w:r>
      <w:r>
        <w:fldChar w:fldCharType="begin"/>
      </w:r>
      <w:r>
        <w:instrText xml:space="preserve"> SEQ Figure \* ARABIC </w:instrText>
      </w:r>
      <w:r>
        <w:fldChar w:fldCharType="separate"/>
      </w:r>
      <w:r w:rsidR="00E26BAC">
        <w:rPr>
          <w:noProof/>
        </w:rPr>
        <w:t>2</w:t>
      </w:r>
      <w:r>
        <w:fldChar w:fldCharType="end"/>
      </w:r>
      <w:r>
        <w:t xml:space="preserve"> Different UE beamforming settings considered</w:t>
      </w:r>
      <w:r w:rsidR="000E2532">
        <w:t xml:space="preserve"> (solid for mean, while dashed for cell edge)</w:t>
      </w:r>
      <w:r>
        <w:t>.</w:t>
      </w:r>
    </w:p>
    <w:p w14:paraId="620147CC" w14:textId="0D63F996" w:rsidR="00F86F2A" w:rsidRDefault="00F86F2A" w:rsidP="000E2532">
      <w:r>
        <w:t xml:space="preserve">Figure </w:t>
      </w:r>
      <w:r w:rsidR="0041301A">
        <w:t>3</w:t>
      </w:r>
      <w:r>
        <w:t xml:space="preserve"> shows the perceived UE antenna gain considering the four </w:t>
      </w:r>
      <w:r w:rsidR="007E7112">
        <w:t>UE beamforming options shown in Figure 2. It can be observed the dominance of the FR</w:t>
      </w:r>
      <w:r w:rsidR="00BF4D7D">
        <w:t>2 option a since it has the higher BF gain</w:t>
      </w:r>
      <w:r w:rsidR="00D50C3B">
        <w:t xml:space="preserve"> while retaining equivalent spatial coverage</w:t>
      </w:r>
      <w:r w:rsidR="00BF4D7D">
        <w:t xml:space="preserve">. </w:t>
      </w:r>
      <w:r w:rsidR="00835808">
        <w:t>In addition,</w:t>
      </w:r>
      <w:r w:rsidR="00BF4D7D">
        <w:t xml:space="preserve"> we can see that the two options listed in RAN4#111 WF [2] paint a rather pessimistic view of the FR1 performance due to the simplistic </w:t>
      </w:r>
      <w:r w:rsidR="00303031">
        <w:t xml:space="preserve">isotropic 0 dBi assumption that it encompasses. Accordingly, we believe that the two proposed models (i.e., blue and red) for FR1 and FR2 provide a better compromise between feasibility, performance, and complexity. </w:t>
      </w:r>
    </w:p>
    <w:p w14:paraId="3929FAA3" w14:textId="476E279D" w:rsidR="00835808" w:rsidRDefault="00835808" w:rsidP="000E2532">
      <w:r w:rsidRPr="00903D0F">
        <w:rPr>
          <w:b/>
          <w:bCs/>
          <w:u w:val="single"/>
        </w:rPr>
        <w:t xml:space="preserve">Proposal </w:t>
      </w:r>
      <w:r w:rsidR="00A03C6D">
        <w:rPr>
          <w:b/>
          <w:bCs/>
          <w:u w:val="single"/>
        </w:rPr>
        <w:t>7</w:t>
      </w:r>
      <w:r>
        <w:rPr>
          <w:b/>
          <w:bCs/>
        </w:rPr>
        <w:t xml:space="preserve">: RAN4 to consider FR1-like UE beamforming as </w:t>
      </w:r>
      <w:r w:rsidR="00587897">
        <w:rPr>
          <w:b/>
          <w:bCs/>
        </w:rPr>
        <w:t>two discrete antennas</w:t>
      </w:r>
      <w:r>
        <w:rPr>
          <w:b/>
          <w:bCs/>
        </w:rPr>
        <w:t xml:space="preserve">  while for FR2-like as two panels with 1x2 array at each.</w:t>
      </w:r>
    </w:p>
    <w:p w14:paraId="7C43BB4B" w14:textId="1379B503" w:rsidR="007E7112" w:rsidRDefault="007E7112" w:rsidP="007E7112">
      <w:pPr>
        <w:jc w:val="center"/>
      </w:pPr>
      <w:r w:rsidRPr="007E7112">
        <w:rPr>
          <w:noProof/>
        </w:rPr>
        <w:drawing>
          <wp:inline distT="0" distB="0" distL="0" distR="0" wp14:anchorId="7E2805DF" wp14:editId="13F37D25">
            <wp:extent cx="3485804" cy="3096252"/>
            <wp:effectExtent l="0" t="0" r="0" b="0"/>
            <wp:docPr id="3121015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519" cy="3113764"/>
                    </a:xfrm>
                    <a:prstGeom prst="rect">
                      <a:avLst/>
                    </a:prstGeom>
                    <a:noFill/>
                    <a:ln>
                      <a:noFill/>
                    </a:ln>
                  </pic:spPr>
                </pic:pic>
              </a:graphicData>
            </a:graphic>
          </wp:inline>
        </w:drawing>
      </w:r>
    </w:p>
    <w:p w14:paraId="42EEF13B" w14:textId="3B8E6D3B" w:rsidR="000E2532" w:rsidRDefault="00373A94" w:rsidP="000E2532">
      <w:r>
        <w:t xml:space="preserve">In Figure </w:t>
      </w:r>
      <w:r w:rsidR="00F86F2A">
        <w:t>3</w:t>
      </w:r>
      <w:r>
        <w:t xml:space="preserve"> we plot the throughput loss performance as a function of the ACIR for both downlink and uplink scenario</w:t>
      </w:r>
      <w:r w:rsidR="00AE26E5">
        <w:t xml:space="preserve">s for the different UE beamforming settings, shown in Figure 2. As observed, the performance of FR1 (option a) </w:t>
      </w:r>
      <w:r w:rsidR="003D31A5">
        <w:t xml:space="preserve">results in the worst performance due to its simplistic way to model the UE antenna gains </w:t>
      </w:r>
      <w:r w:rsidR="001B269A">
        <w:t xml:space="preserve">experienced in both downlink and uplink. The delta compared to the variant option b is around 0.5 dB in the downlink </w:t>
      </w:r>
      <w:r w:rsidR="0025545A">
        <w:t xml:space="preserve">and 3 dB in the uplink. Such performance enhancement is a result from the added directionality at the UE side. We also can observe the impact of the beamforming capability at the UE side with the variants of FR2 options. The performance gap between option a and option b is around </w:t>
      </w:r>
      <w:r w:rsidR="00FB3DC2">
        <w:t xml:space="preserve">1 dB for both downlink and uplink, which does not justify having 2x2 arrays, when close performance can be realized with 1x2 arrays, but with lower antenna design complexity and cost. </w:t>
      </w:r>
    </w:p>
    <w:p w14:paraId="34F24790" w14:textId="2276AEE8" w:rsidR="00315BD8" w:rsidRDefault="00315BD8" w:rsidP="000E2532">
      <w:pPr>
        <w:rPr>
          <w:b/>
          <w:bCs/>
        </w:rPr>
      </w:pPr>
      <w:r w:rsidRPr="00903D0F">
        <w:rPr>
          <w:b/>
          <w:bCs/>
          <w:u w:val="single"/>
        </w:rPr>
        <w:t>Observation 3</w:t>
      </w:r>
      <w:r>
        <w:rPr>
          <w:b/>
          <w:bCs/>
        </w:rPr>
        <w:t xml:space="preserve">: There is an observed performance enhancement when considering directionality at the UE </w:t>
      </w:r>
      <w:r w:rsidR="001A7E15">
        <w:rPr>
          <w:b/>
          <w:bCs/>
        </w:rPr>
        <w:t xml:space="preserve">via single elements compared to the isotropic 0 dBi assumption. </w:t>
      </w:r>
    </w:p>
    <w:p w14:paraId="13C50149" w14:textId="61E54E1B" w:rsidR="000D6147" w:rsidRDefault="000D6147" w:rsidP="000E2532">
      <w:pPr>
        <w:rPr>
          <w:b/>
          <w:bCs/>
        </w:rPr>
      </w:pPr>
      <w:r w:rsidRPr="00903D0F">
        <w:rPr>
          <w:b/>
          <w:bCs/>
          <w:u w:val="single"/>
        </w:rPr>
        <w:t xml:space="preserve">Observation </w:t>
      </w:r>
      <w:r w:rsidR="00315BD8" w:rsidRPr="00903D0F">
        <w:rPr>
          <w:b/>
          <w:bCs/>
          <w:u w:val="single"/>
        </w:rPr>
        <w:t>4</w:t>
      </w:r>
      <w:r w:rsidRPr="00315BD8">
        <w:rPr>
          <w:b/>
          <w:bCs/>
        </w:rPr>
        <w:t xml:space="preserve">: TP </w:t>
      </w:r>
      <w:r w:rsidR="00315BD8" w:rsidRPr="00315BD8">
        <w:rPr>
          <w:b/>
          <w:bCs/>
        </w:rPr>
        <w:t xml:space="preserve">loss performance is marginal between 1x2 and 2x2 array at the UE side. </w:t>
      </w:r>
    </w:p>
    <w:p w14:paraId="0AE6ECEA" w14:textId="6BD1F998" w:rsidR="001A7E15" w:rsidRPr="00315BD8" w:rsidRDefault="001A7E15" w:rsidP="000E2532">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166F01" w14:paraId="32D9D5CF" w14:textId="77777777" w:rsidTr="00166F01">
        <w:tc>
          <w:tcPr>
            <w:tcW w:w="4811" w:type="dxa"/>
          </w:tcPr>
          <w:p w14:paraId="12F40B74" w14:textId="6870598E" w:rsidR="00A21DD9" w:rsidRDefault="00016F90" w:rsidP="000E2532">
            <w:r w:rsidRPr="00016F90">
              <w:rPr>
                <w:noProof/>
              </w:rPr>
              <w:lastRenderedPageBreak/>
              <w:drawing>
                <wp:inline distT="0" distB="0" distL="0" distR="0" wp14:anchorId="706653DF" wp14:editId="081023B3">
                  <wp:extent cx="3052742" cy="2294313"/>
                  <wp:effectExtent l="0" t="0" r="0" b="0"/>
                  <wp:docPr id="17997650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3782" cy="2302610"/>
                          </a:xfrm>
                          <a:prstGeom prst="rect">
                            <a:avLst/>
                          </a:prstGeom>
                          <a:noFill/>
                          <a:ln>
                            <a:noFill/>
                          </a:ln>
                        </pic:spPr>
                      </pic:pic>
                    </a:graphicData>
                  </a:graphic>
                </wp:inline>
              </w:drawing>
            </w:r>
          </w:p>
        </w:tc>
        <w:tc>
          <w:tcPr>
            <w:tcW w:w="4811" w:type="dxa"/>
          </w:tcPr>
          <w:p w14:paraId="37682ED8" w14:textId="445BACC5" w:rsidR="00A21DD9" w:rsidRDefault="000D6147" w:rsidP="00CD4E71">
            <w:pPr>
              <w:keepNext/>
            </w:pPr>
            <w:r w:rsidRPr="000D6147">
              <w:rPr>
                <w:noProof/>
              </w:rPr>
              <w:drawing>
                <wp:inline distT="0" distB="0" distL="0" distR="0" wp14:anchorId="3A951ED7" wp14:editId="3408ECC3">
                  <wp:extent cx="3053657" cy="2296930"/>
                  <wp:effectExtent l="0" t="0" r="0" b="8255"/>
                  <wp:docPr id="14215237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2800" cy="2303807"/>
                          </a:xfrm>
                          <a:prstGeom prst="rect">
                            <a:avLst/>
                          </a:prstGeom>
                          <a:noFill/>
                          <a:ln>
                            <a:noFill/>
                          </a:ln>
                        </pic:spPr>
                      </pic:pic>
                    </a:graphicData>
                  </a:graphic>
                </wp:inline>
              </w:drawing>
            </w:r>
          </w:p>
        </w:tc>
      </w:tr>
    </w:tbl>
    <w:p w14:paraId="26177C0C" w14:textId="0A696931" w:rsidR="00C53F8D" w:rsidRDefault="00CD4E71" w:rsidP="00835808">
      <w:pPr>
        <w:pStyle w:val="Caption"/>
        <w:jc w:val="center"/>
      </w:pPr>
      <w:r>
        <w:t xml:space="preserve">Figure </w:t>
      </w:r>
      <w:r>
        <w:fldChar w:fldCharType="begin"/>
      </w:r>
      <w:r>
        <w:instrText xml:space="preserve"> SEQ Figure \* ARABIC </w:instrText>
      </w:r>
      <w:r>
        <w:fldChar w:fldCharType="separate"/>
      </w:r>
      <w:r w:rsidR="00E26BAC">
        <w:rPr>
          <w:noProof/>
        </w:rPr>
        <w:t>3</w:t>
      </w:r>
      <w:r>
        <w:fldChar w:fldCharType="end"/>
      </w:r>
      <w:r>
        <w:t xml:space="preserve"> TP loss as function of ACIR with solid (dashed) represent mean (cell edge) performance.</w:t>
      </w:r>
    </w:p>
    <w:p w14:paraId="24AD030E" w14:textId="3DD5D810" w:rsidR="007449DE" w:rsidRDefault="007A0A6D" w:rsidP="007A0A6D">
      <w:r>
        <w:t xml:space="preserve">It is worth noting that the lower ACIR values are a byproduct of the enhanced performance resulting from large antenna arrays deployed at the BS. In comparison to Rel-17 work done on 10GHz, number of antennas at the BS side was assumed to be 16x8, whereas in [2], at least 1k element was considered, resulting in </w:t>
      </w:r>
      <w:r w:rsidR="007449DE">
        <w:t>around</w:t>
      </w:r>
      <w:r>
        <w:t xml:space="preserve"> 9 dBi</w:t>
      </w:r>
      <w:r w:rsidR="007449DE">
        <w:t xml:space="preserve"> difference in the directivity. </w:t>
      </w:r>
    </w:p>
    <w:p w14:paraId="02B0E322" w14:textId="78B54100" w:rsidR="007A0A6D" w:rsidRDefault="007449DE" w:rsidP="007A0A6D">
      <w:pPr>
        <w:rPr>
          <w:b/>
          <w:bCs/>
        </w:rPr>
      </w:pPr>
      <w:r w:rsidRPr="00EC4484">
        <w:rPr>
          <w:b/>
          <w:bCs/>
          <w:u w:val="single"/>
        </w:rPr>
        <w:t>Observation 5</w:t>
      </w:r>
      <w:r w:rsidRPr="00EC4484">
        <w:rPr>
          <w:b/>
          <w:bCs/>
        </w:rPr>
        <w:t xml:space="preserve">: Large antenna arrays at the BS enables feasible </w:t>
      </w:r>
      <w:r w:rsidR="00EC4484" w:rsidRPr="00EC4484">
        <w:rPr>
          <w:b/>
          <w:bCs/>
        </w:rPr>
        <w:t>adjacent channel coexistence</w:t>
      </w:r>
      <w:r w:rsidRPr="00EC4484">
        <w:rPr>
          <w:b/>
          <w:bCs/>
        </w:rPr>
        <w:t xml:space="preserve"> </w:t>
      </w:r>
      <w:r w:rsidR="00EC4484" w:rsidRPr="00EC4484">
        <w:rPr>
          <w:b/>
          <w:bCs/>
        </w:rPr>
        <w:t xml:space="preserve">via directing the wanted signal to the target destination and reducing the adjacent channel interference. </w:t>
      </w:r>
    </w:p>
    <w:p w14:paraId="3513B604" w14:textId="77777777" w:rsidR="00807EE8" w:rsidRDefault="004867EE" w:rsidP="007A0A6D">
      <w:r>
        <w:t xml:space="preserve">Focusing on the provided ACIR performance for the uplink scenario given in </w:t>
      </w:r>
      <w:r w:rsidR="009820D3">
        <w:t xml:space="preserve">Figure </w:t>
      </w:r>
      <w:r>
        <w:t xml:space="preserve">3, the </w:t>
      </w:r>
      <w:r w:rsidR="00513341">
        <w:t>worst-case</w:t>
      </w:r>
      <w:r>
        <w:t xml:space="preserve"> performance provides around </w:t>
      </w:r>
      <w:r w:rsidR="00513341">
        <w:t xml:space="preserve">ACIR = 17 dB, which represents the combined effects of the UE ACLR and the gNB ACS. </w:t>
      </w:r>
      <w:r w:rsidR="008C46B7">
        <w:t xml:space="preserve">Additionally, UEs in the 14800 – 15350 MHz frequency range will anyway need to comply with the regulatory occupied bandwidth requirement, that specifies </w:t>
      </w:r>
      <w:r w:rsidR="008C46B7" w:rsidRPr="008C46B7">
        <w:t xml:space="preserve">the maximum bandwidth within which emissions do not exceed a certain percentage of the total emissions. </w:t>
      </w:r>
      <w:r w:rsidR="00807EE8">
        <w:t xml:space="preserve">For NR, </w:t>
      </w:r>
      <w:r w:rsidR="008C46B7" w:rsidRPr="008C46B7">
        <w:t>it is equal to the channel bandwidth with a maximum of 1% of emissions allowed outside of it (0.5% on each side)</w:t>
      </w:r>
      <w:r w:rsidR="00807EE8">
        <w:t xml:space="preserve">, which result in around 24 dBc UE ACLR requirement. </w:t>
      </w:r>
    </w:p>
    <w:p w14:paraId="12B3A0B0" w14:textId="77777777" w:rsidR="00807EE8" w:rsidRDefault="00807EE8" w:rsidP="007A0A6D">
      <w:pPr>
        <w:rPr>
          <w:b/>
          <w:bCs/>
        </w:rPr>
      </w:pPr>
      <w:r w:rsidRPr="00807EE8">
        <w:rPr>
          <w:b/>
          <w:bCs/>
          <w:u w:val="single"/>
        </w:rPr>
        <w:t>Observation 6</w:t>
      </w:r>
      <w:r w:rsidRPr="00807EE8">
        <w:rPr>
          <w:b/>
          <w:bCs/>
        </w:rPr>
        <w:t>: Due to the regulatory occupied bandwidth requirement, required UE ACLR is technically equal to 24 dBc.</w:t>
      </w:r>
    </w:p>
    <w:p w14:paraId="286BF8FB" w14:textId="77777777" w:rsidR="00B42962" w:rsidRDefault="00807EE8" w:rsidP="007A0A6D">
      <w:r w:rsidRPr="005A036B">
        <w:t xml:space="preserve">Considering the 17 dB ACIR observed from Figure 3, this implies that the </w:t>
      </w:r>
      <w:r w:rsidR="005A036B" w:rsidRPr="005A036B">
        <w:t>gNB ACS will be around 18 dBc</w:t>
      </w:r>
      <w:r w:rsidR="009467C5">
        <w:t xml:space="preserve"> which motivates </w:t>
      </w:r>
      <w:r w:rsidR="00010175">
        <w:t xml:space="preserve">the case of considering higher power classes (i.e., higher maximum UE output power). </w:t>
      </w:r>
    </w:p>
    <w:p w14:paraId="2C97D948" w14:textId="795AC684" w:rsidR="00A02EF6" w:rsidRPr="002B1B19" w:rsidRDefault="00B42962" w:rsidP="007A0A6D">
      <w:pPr>
        <w:rPr>
          <w:b/>
          <w:bCs/>
        </w:rPr>
      </w:pPr>
      <w:r w:rsidRPr="002B1B19">
        <w:rPr>
          <w:b/>
          <w:bCs/>
          <w:u w:val="single"/>
        </w:rPr>
        <w:t>Observation 7</w:t>
      </w:r>
      <w:r w:rsidRPr="002B1B19">
        <w:rPr>
          <w:b/>
          <w:bCs/>
        </w:rPr>
        <w:t xml:space="preserve">: </w:t>
      </w:r>
      <w:r w:rsidR="002B1B19" w:rsidRPr="002B1B19">
        <w:rPr>
          <w:b/>
          <w:bCs/>
        </w:rPr>
        <w:t>Exploring higher power classes is feasible for this frequency range g</w:t>
      </w:r>
      <w:r w:rsidRPr="002B1B19">
        <w:rPr>
          <w:b/>
          <w:bCs/>
        </w:rPr>
        <w:t>iven the observed ACIR values</w:t>
      </w:r>
      <w:r w:rsidR="002B1B19" w:rsidRPr="002B1B19">
        <w:rPr>
          <w:b/>
          <w:bCs/>
        </w:rPr>
        <w:t xml:space="preserve">.  </w:t>
      </w:r>
    </w:p>
    <w:p w14:paraId="6DFEA2FC" w14:textId="7D1CA7AD" w:rsidR="00C53F8D" w:rsidRDefault="00C53F8D">
      <w:pPr>
        <w:pStyle w:val="Heading3"/>
      </w:pPr>
      <w:r>
        <w:t>2.5.2</w:t>
      </w:r>
      <w:r>
        <w:tab/>
        <w:t xml:space="preserve">Impact of UE maximum output power </w:t>
      </w:r>
    </w:p>
    <w:p w14:paraId="3A4506D1" w14:textId="63CFCA69" w:rsidR="00C53F8D" w:rsidRDefault="00A02EF6" w:rsidP="00C53F8D">
      <w:r>
        <w:t>In [2], two options regarding the UE maximum output power were considered</w:t>
      </w:r>
      <w:r w:rsidR="002007C3">
        <w:t xml:space="preserve">, namely 23 dBm (shown in black) and 26 dBm (shown in magenta). Figure 4 </w:t>
      </w:r>
      <w:r w:rsidR="00B575DE">
        <w:t xml:space="preserve">presents the results for the two power classes, where it can be observed that with higher power class, </w:t>
      </w:r>
      <w:r w:rsidR="008738C2">
        <w:t xml:space="preserve">ACIR values are approximately 2 dB higher. With the low ACIR values observed, it is proposed to consider UE maximum </w:t>
      </w:r>
    </w:p>
    <w:p w14:paraId="094AD0FD" w14:textId="4A50810E" w:rsidR="00034B4E" w:rsidRDefault="00034B4E" w:rsidP="00C53F8D">
      <w:pPr>
        <w:rPr>
          <w:b/>
          <w:bCs/>
        </w:rPr>
      </w:pPr>
      <w:r w:rsidRPr="00E455DD">
        <w:rPr>
          <w:b/>
          <w:bCs/>
          <w:u w:val="single"/>
        </w:rPr>
        <w:t>Observation 8:</w:t>
      </w:r>
      <w:r w:rsidRPr="00E455DD">
        <w:rPr>
          <w:b/>
          <w:bCs/>
        </w:rPr>
        <w:t xml:space="preserve"> ACIR values for are observed to be approximately 2 dB higher</w:t>
      </w:r>
      <w:r w:rsidR="00E455DD" w:rsidRPr="00E455DD">
        <w:rPr>
          <w:b/>
          <w:bCs/>
        </w:rPr>
        <w:t xml:space="preserve"> when considering UE maximum output power = 26 dBm compared to 23 dBm. </w:t>
      </w:r>
    </w:p>
    <w:p w14:paraId="2DEB750F" w14:textId="01593F6E" w:rsidR="00E455DD" w:rsidRPr="00E455DD" w:rsidRDefault="00E455DD" w:rsidP="00C53F8D">
      <w:pPr>
        <w:rPr>
          <w:b/>
          <w:bCs/>
        </w:rPr>
      </w:pPr>
      <w:r w:rsidRPr="00E455DD">
        <w:rPr>
          <w:b/>
          <w:bCs/>
          <w:u w:val="single"/>
        </w:rPr>
        <w:t xml:space="preserve">Proposal </w:t>
      </w:r>
      <w:r w:rsidR="00AE6FC0">
        <w:rPr>
          <w:b/>
          <w:bCs/>
          <w:u w:val="single"/>
        </w:rPr>
        <w:t>8</w:t>
      </w:r>
      <w:r>
        <w:rPr>
          <w:b/>
          <w:bCs/>
        </w:rPr>
        <w:t xml:space="preserve">: RAN4 to consider 26 dBm as the UE maximum output power in the 14800-15350 MHz frequency range adjacent coexistence study.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D34805" w14:paraId="770F2987" w14:textId="77777777" w:rsidTr="00E26BAC">
        <w:tc>
          <w:tcPr>
            <w:tcW w:w="4811" w:type="dxa"/>
          </w:tcPr>
          <w:p w14:paraId="6259BCD9" w14:textId="75CFB713" w:rsidR="00D34805" w:rsidRDefault="00D34805" w:rsidP="00C53F8D">
            <w:r w:rsidRPr="00D34805">
              <w:rPr>
                <w:noProof/>
              </w:rPr>
              <w:lastRenderedPageBreak/>
              <w:drawing>
                <wp:inline distT="0" distB="0" distL="0" distR="0" wp14:anchorId="3CAF3AA1" wp14:editId="655786BB">
                  <wp:extent cx="2764559" cy="2378759"/>
                  <wp:effectExtent l="0" t="0" r="0" b="2540"/>
                  <wp:docPr id="12" name="Picture 11">
                    <a:extLst xmlns:a="http://schemas.openxmlformats.org/drawingml/2006/main">
                      <a:ext uri="{FF2B5EF4-FFF2-40B4-BE49-F238E27FC236}">
                        <a16:creationId xmlns:a16="http://schemas.microsoft.com/office/drawing/2014/main" id="{D4ADCD19-EBA8-A251-6584-8B09AA1FE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D4ADCD19-EBA8-A251-6584-8B09AA1FE68A}"/>
                              </a:ext>
                            </a:extLst>
                          </pic:cNvPr>
                          <pic:cNvPicPr>
                            <a:picLocks noChangeAspect="1"/>
                          </pic:cNvPicPr>
                        </pic:nvPicPr>
                        <pic:blipFill rotWithShape="1">
                          <a:blip r:embed="rId14"/>
                          <a:srcRect l="5023" r="7812"/>
                          <a:stretch/>
                        </pic:blipFill>
                        <pic:spPr bwMode="auto">
                          <a:xfrm>
                            <a:off x="0" y="0"/>
                            <a:ext cx="2778226" cy="2390519"/>
                          </a:xfrm>
                          <a:prstGeom prst="rect">
                            <a:avLst/>
                          </a:prstGeom>
                          <a:ln>
                            <a:noFill/>
                          </a:ln>
                          <a:extLst>
                            <a:ext uri="{53640926-AAD7-44D8-BBD7-CCE9431645EC}">
                              <a14:shadowObscured xmlns:a14="http://schemas.microsoft.com/office/drawing/2010/main"/>
                            </a:ext>
                          </a:extLst>
                        </pic:spPr>
                      </pic:pic>
                    </a:graphicData>
                  </a:graphic>
                </wp:inline>
              </w:drawing>
            </w:r>
          </w:p>
        </w:tc>
        <w:tc>
          <w:tcPr>
            <w:tcW w:w="4811" w:type="dxa"/>
          </w:tcPr>
          <w:p w14:paraId="27AEC6D9" w14:textId="738F4C81" w:rsidR="00D34805" w:rsidRDefault="00D34805" w:rsidP="00E26BAC">
            <w:pPr>
              <w:keepNext/>
            </w:pPr>
            <w:r w:rsidRPr="00D34805">
              <w:rPr>
                <w:noProof/>
              </w:rPr>
              <w:drawing>
                <wp:inline distT="0" distB="0" distL="0" distR="0" wp14:anchorId="5B76F975" wp14:editId="40A3C91A">
                  <wp:extent cx="2792337" cy="2410691"/>
                  <wp:effectExtent l="0" t="0" r="8255" b="8890"/>
                  <wp:docPr id="15" name="Picture 14">
                    <a:extLst xmlns:a="http://schemas.openxmlformats.org/drawingml/2006/main">
                      <a:ext uri="{FF2B5EF4-FFF2-40B4-BE49-F238E27FC236}">
                        <a16:creationId xmlns:a16="http://schemas.microsoft.com/office/drawing/2014/main" id="{1766F837-CE7E-0E3C-9E7E-E1126C57D0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766F837-CE7E-0E3C-9E7E-E1126C57D0E6}"/>
                              </a:ext>
                            </a:extLst>
                          </pic:cNvPr>
                          <pic:cNvPicPr>
                            <a:picLocks noChangeAspect="1"/>
                          </pic:cNvPicPr>
                        </pic:nvPicPr>
                        <pic:blipFill rotWithShape="1">
                          <a:blip r:embed="rId15"/>
                          <a:srcRect l="5441" r="7686"/>
                          <a:stretch/>
                        </pic:blipFill>
                        <pic:spPr bwMode="auto">
                          <a:xfrm>
                            <a:off x="0" y="0"/>
                            <a:ext cx="2825594" cy="2439403"/>
                          </a:xfrm>
                          <a:prstGeom prst="rect">
                            <a:avLst/>
                          </a:prstGeom>
                          <a:ln>
                            <a:noFill/>
                          </a:ln>
                          <a:extLst>
                            <a:ext uri="{53640926-AAD7-44D8-BBD7-CCE9431645EC}">
                              <a14:shadowObscured xmlns:a14="http://schemas.microsoft.com/office/drawing/2010/main"/>
                            </a:ext>
                          </a:extLst>
                        </pic:spPr>
                      </pic:pic>
                    </a:graphicData>
                  </a:graphic>
                </wp:inline>
              </w:drawing>
            </w:r>
          </w:p>
        </w:tc>
      </w:tr>
    </w:tbl>
    <w:p w14:paraId="2FE1D90E" w14:textId="5A13B79F" w:rsidR="002007C3" w:rsidRPr="00C53F8D" w:rsidRDefault="00E26BAC" w:rsidP="00E26BA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TP loss for Uplink scenario for black (magenta) 23 (26) dBm UE maximum output power.</w:t>
      </w:r>
    </w:p>
    <w:p w14:paraId="6E12F344" w14:textId="77777777" w:rsidR="00993E9B" w:rsidRDefault="00993E9B" w:rsidP="00823087">
      <w:pPr>
        <w:pStyle w:val="Heading1"/>
        <w:ind w:left="0" w:firstLine="0"/>
        <w:jc w:val="both"/>
      </w:pPr>
      <w:r>
        <w:t>Conclusion</w:t>
      </w:r>
    </w:p>
    <w:p w14:paraId="680B5DC1" w14:textId="4163DE30" w:rsidR="00993E9B" w:rsidRDefault="004A75F9" w:rsidP="00823087">
      <w:pPr>
        <w:jc w:val="both"/>
      </w:pPr>
      <w:r>
        <w:t xml:space="preserve">In this paper we have shared our views on the RF parameters for </w:t>
      </w:r>
      <w:r w:rsidR="0091658C" w:rsidRPr="004A7143">
        <w:t>14800</w:t>
      </w:r>
      <w:r w:rsidR="00F50B6E">
        <w:t xml:space="preserve"> - </w:t>
      </w:r>
      <w:r w:rsidR="0091658C" w:rsidRPr="004A7143">
        <w:t>15350</w:t>
      </w:r>
      <w:r w:rsidR="0091658C">
        <w:rPr>
          <w:bCs/>
        </w:rPr>
        <w:t xml:space="preserve"> MHz f</w:t>
      </w:r>
      <w:r w:rsidR="0091658C" w:rsidRPr="0055126D">
        <w:rPr>
          <w:bCs/>
        </w:rPr>
        <w:t>requency range</w:t>
      </w:r>
      <w:r>
        <w:t>. Our observations and proposals can be summarized for that frequency range as follows:</w:t>
      </w:r>
    </w:p>
    <w:p w14:paraId="2AA58366" w14:textId="77777777" w:rsidR="005572D8" w:rsidRDefault="005572D8" w:rsidP="005572D8">
      <w:pPr>
        <w:rPr>
          <w:b/>
          <w:bCs/>
        </w:rPr>
      </w:pPr>
      <w:r w:rsidRPr="00E33B2F">
        <w:rPr>
          <w:b/>
          <w:bCs/>
          <w:u w:val="single"/>
          <w:lang w:eastAsia="ja-JP"/>
        </w:rPr>
        <w:t>Observation</w:t>
      </w:r>
      <w:r>
        <w:rPr>
          <w:b/>
          <w:bCs/>
          <w:u w:val="single"/>
          <w:lang w:eastAsia="ja-JP"/>
        </w:rPr>
        <w:t xml:space="preserve"> 1</w:t>
      </w:r>
      <w:r w:rsidRPr="00353594">
        <w:rPr>
          <w:b/>
          <w:bCs/>
          <w:lang w:eastAsia="ja-JP"/>
        </w:rPr>
        <w:t xml:space="preserve">: Urban macro deployments for the </w:t>
      </w:r>
      <w:r w:rsidRPr="00353594">
        <w:rPr>
          <w:b/>
          <w:bCs/>
        </w:rPr>
        <w:t xml:space="preserve">14800 – 15350 MHz frequency range is feasible based </w:t>
      </w:r>
      <w:r>
        <w:rPr>
          <w:b/>
          <w:bCs/>
        </w:rPr>
        <w:t xml:space="preserve">the assumptions of large antenna array at the BS side. </w:t>
      </w:r>
    </w:p>
    <w:p w14:paraId="58F598BD" w14:textId="77777777" w:rsidR="00D850AE" w:rsidRDefault="00D850AE" w:rsidP="00D850AE">
      <w:pPr>
        <w:rPr>
          <w:b/>
          <w:bCs/>
        </w:rPr>
      </w:pPr>
      <w:r w:rsidRPr="00E33B2F">
        <w:rPr>
          <w:b/>
          <w:bCs/>
          <w:u w:val="single"/>
        </w:rPr>
        <w:t>Proposal</w:t>
      </w:r>
      <w:r>
        <w:rPr>
          <w:b/>
          <w:bCs/>
          <w:u w:val="single"/>
        </w:rPr>
        <w:t xml:space="preserve"> 1</w:t>
      </w:r>
      <w:r>
        <w:rPr>
          <w:b/>
          <w:bCs/>
        </w:rPr>
        <w:t xml:space="preserve">: RAN4 to prioritize urban macro deployment scenarios and consider Indoor scenario after all assumptions/ parameters for the urban macro deployment are agreed. </w:t>
      </w:r>
    </w:p>
    <w:p w14:paraId="60F15FC7" w14:textId="77777777" w:rsidR="00D850AE" w:rsidRPr="00715476" w:rsidRDefault="00D850AE" w:rsidP="00D850AE">
      <w:pPr>
        <w:rPr>
          <w:b/>
          <w:bCs/>
        </w:rPr>
      </w:pPr>
      <w:r w:rsidRPr="00E33B2F">
        <w:rPr>
          <w:b/>
          <w:bCs/>
          <w:u w:val="single"/>
        </w:rPr>
        <w:t>Proposal</w:t>
      </w:r>
      <w:r>
        <w:rPr>
          <w:b/>
          <w:bCs/>
          <w:u w:val="single"/>
        </w:rPr>
        <w:t xml:space="preserve"> 2</w:t>
      </w:r>
      <w:r>
        <w:rPr>
          <w:b/>
          <w:bCs/>
        </w:rPr>
        <w:t xml:space="preserve">: RAN4 to consider as </w:t>
      </w:r>
      <w:proofErr w:type="gramStart"/>
      <w:r>
        <w:rPr>
          <w:b/>
          <w:bCs/>
        </w:rPr>
        <w:t>a first priority</w:t>
      </w:r>
      <w:proofErr w:type="gramEnd"/>
      <w:r>
        <w:rPr>
          <w:b/>
          <w:bCs/>
        </w:rPr>
        <w:t xml:space="preserve"> uncoordinated urban macro deployments in the adjacent channel coexistence framework, similar to TR 38.921. </w:t>
      </w:r>
    </w:p>
    <w:p w14:paraId="26F43C52" w14:textId="77777777" w:rsidR="00D850AE" w:rsidRDefault="00D850AE" w:rsidP="00D850AE">
      <w:pPr>
        <w:jc w:val="both"/>
        <w:rPr>
          <w:b/>
          <w:bCs/>
        </w:rPr>
      </w:pPr>
      <w:r w:rsidRPr="00F076B6">
        <w:rPr>
          <w:b/>
          <w:bCs/>
          <w:u w:val="single"/>
        </w:rPr>
        <w:t xml:space="preserve">Proposal </w:t>
      </w:r>
      <w:r>
        <w:rPr>
          <w:b/>
          <w:bCs/>
          <w:u w:val="single"/>
        </w:rPr>
        <w:t>3</w:t>
      </w:r>
      <w:r w:rsidRPr="00915421">
        <w:rPr>
          <w:b/>
          <w:bCs/>
        </w:rPr>
        <w:t xml:space="preserve">: </w:t>
      </w:r>
      <w:r>
        <w:rPr>
          <w:b/>
          <w:bCs/>
        </w:rPr>
        <w:t xml:space="preserve">RAN4 to consider 200 MHz as a baseline in the adjacent channel coexistence framework. </w:t>
      </w:r>
    </w:p>
    <w:p w14:paraId="02BAE644" w14:textId="77777777" w:rsidR="00D850AE" w:rsidRDefault="00D850AE" w:rsidP="00D850AE">
      <w:pPr>
        <w:jc w:val="both"/>
        <w:rPr>
          <w:b/>
          <w:bCs/>
        </w:rPr>
      </w:pPr>
      <w:r w:rsidRPr="00AC7669">
        <w:rPr>
          <w:b/>
          <w:bCs/>
          <w:u w:val="single"/>
        </w:rPr>
        <w:t>Proposal</w:t>
      </w:r>
      <w:r>
        <w:rPr>
          <w:b/>
          <w:bCs/>
          <w:u w:val="single"/>
        </w:rPr>
        <w:t xml:space="preserve"> 4</w:t>
      </w:r>
      <w:r w:rsidRPr="00297A8F">
        <w:rPr>
          <w:b/>
          <w:bCs/>
        </w:rPr>
        <w:t xml:space="preserve">: RAN4 to </w:t>
      </w:r>
      <w:r>
        <w:rPr>
          <w:b/>
          <w:bCs/>
        </w:rPr>
        <w:t>consider at least 1k elements at the BS side and study feasibility</w:t>
      </w:r>
      <w:r w:rsidRPr="00297A8F">
        <w:rPr>
          <w:b/>
          <w:bCs/>
        </w:rPr>
        <w:t xml:space="preserve"> of </w:t>
      </w:r>
      <w:r>
        <w:rPr>
          <w:b/>
          <w:bCs/>
        </w:rPr>
        <w:t>deploying larger</w:t>
      </w:r>
      <w:r w:rsidRPr="00297A8F">
        <w:rPr>
          <w:b/>
          <w:bCs/>
        </w:rPr>
        <w:t xml:space="preserve"> </w:t>
      </w:r>
      <w:r>
        <w:rPr>
          <w:b/>
          <w:bCs/>
        </w:rPr>
        <w:t>number of antenna elements in the BS compared to FR1 for the 15 GHz range.</w:t>
      </w:r>
    </w:p>
    <w:p w14:paraId="57207553" w14:textId="77777777" w:rsidR="00D850AE" w:rsidRPr="0039563D" w:rsidRDefault="00D850AE" w:rsidP="00D850AE">
      <w:pPr>
        <w:jc w:val="both"/>
        <w:rPr>
          <w:b/>
          <w:bCs/>
        </w:rPr>
      </w:pPr>
      <w:r w:rsidRPr="001E51AD">
        <w:rPr>
          <w:b/>
          <w:bCs/>
          <w:u w:val="single"/>
          <w:lang w:val="en-US"/>
        </w:rPr>
        <w:t>Observation</w:t>
      </w:r>
      <w:r>
        <w:rPr>
          <w:b/>
          <w:bCs/>
          <w:u w:val="single"/>
          <w:lang w:val="en-US"/>
        </w:rPr>
        <w:t xml:space="preserve"> 2</w:t>
      </w:r>
      <w:r w:rsidRPr="00647AA7">
        <w:rPr>
          <w:b/>
          <w:bCs/>
          <w:lang w:val="en-US"/>
        </w:rPr>
        <w:t xml:space="preserve">: BS AAS parameters should be selected to facilitate the coexistence with other incumbent services. </w:t>
      </w:r>
    </w:p>
    <w:p w14:paraId="1341DAF5" w14:textId="77777777" w:rsidR="00D850AE" w:rsidRDefault="00D850AE" w:rsidP="00D850AE">
      <w:pPr>
        <w:rPr>
          <w:b/>
          <w:bCs/>
        </w:rPr>
      </w:pPr>
      <w:r w:rsidRPr="005F5AE9">
        <w:rPr>
          <w:b/>
          <w:bCs/>
          <w:u w:val="single"/>
        </w:rPr>
        <w:t xml:space="preserve">Proposal </w:t>
      </w:r>
      <w:r>
        <w:rPr>
          <w:b/>
          <w:bCs/>
          <w:u w:val="single"/>
        </w:rPr>
        <w:t>5</w:t>
      </w:r>
      <w:r w:rsidRPr="000F2C8D">
        <w:rPr>
          <w:b/>
          <w:bCs/>
        </w:rPr>
        <w:t xml:space="preserve">: As an alternative option for the “FR1-like UE BF”, RAN4 to consider UE with a single antenna element at the UE with random orientation in the azimuth domain, uniformly distributed between -90 and 90 degrees. </w:t>
      </w:r>
    </w:p>
    <w:p w14:paraId="60799F66" w14:textId="77777777" w:rsidR="00D850AE" w:rsidRPr="00947EAE" w:rsidRDefault="00D850AE" w:rsidP="00D850AE">
      <w:pPr>
        <w:rPr>
          <w:b/>
          <w:bCs/>
        </w:rPr>
      </w:pPr>
      <w:r w:rsidRPr="005F5AE9">
        <w:rPr>
          <w:b/>
          <w:bCs/>
          <w:u w:val="single"/>
        </w:rPr>
        <w:t xml:space="preserve">Proposal </w:t>
      </w:r>
      <w:r>
        <w:rPr>
          <w:b/>
          <w:bCs/>
          <w:u w:val="single"/>
        </w:rPr>
        <w:t>6</w:t>
      </w:r>
      <w:r w:rsidRPr="005F5AE9">
        <w:rPr>
          <w:b/>
          <w:bCs/>
        </w:rPr>
        <w:t>: As an alternative option for the “FR2-like UE BF”, RAN4 to consider two panels, with each having 1x2 array.</w:t>
      </w:r>
    </w:p>
    <w:p w14:paraId="34E50750" w14:textId="77777777" w:rsidR="00D850AE" w:rsidRDefault="00D850AE" w:rsidP="00D850AE">
      <w:r w:rsidRPr="00903D0F">
        <w:rPr>
          <w:b/>
          <w:bCs/>
          <w:u w:val="single"/>
        </w:rPr>
        <w:t xml:space="preserve">Proposal </w:t>
      </w:r>
      <w:r>
        <w:rPr>
          <w:b/>
          <w:bCs/>
          <w:u w:val="single"/>
        </w:rPr>
        <w:t>7</w:t>
      </w:r>
      <w:r>
        <w:rPr>
          <w:b/>
          <w:bCs/>
        </w:rPr>
        <w:t>: RAN4 to consider FR1-like UE beamforming as two panels with single element at each while for FR2-like as two panels with 1x2 array at each.</w:t>
      </w:r>
    </w:p>
    <w:p w14:paraId="51565A2F" w14:textId="77777777" w:rsidR="00D850AE" w:rsidRDefault="00D850AE" w:rsidP="00D850AE">
      <w:pPr>
        <w:rPr>
          <w:b/>
          <w:bCs/>
        </w:rPr>
      </w:pPr>
      <w:r w:rsidRPr="00903D0F">
        <w:rPr>
          <w:b/>
          <w:bCs/>
          <w:u w:val="single"/>
        </w:rPr>
        <w:t>Observation 3</w:t>
      </w:r>
      <w:r>
        <w:rPr>
          <w:b/>
          <w:bCs/>
        </w:rPr>
        <w:t xml:space="preserve">: There is an observed performance enhancement when considering directionality at the UE via single elements compared to the isotropic 0 dBi assumption. </w:t>
      </w:r>
    </w:p>
    <w:p w14:paraId="78CE99E8" w14:textId="77777777" w:rsidR="00D850AE" w:rsidRDefault="00D850AE" w:rsidP="00D850AE">
      <w:pPr>
        <w:rPr>
          <w:b/>
          <w:bCs/>
        </w:rPr>
      </w:pPr>
      <w:r w:rsidRPr="00903D0F">
        <w:rPr>
          <w:b/>
          <w:bCs/>
          <w:u w:val="single"/>
        </w:rPr>
        <w:t>Observation 4</w:t>
      </w:r>
      <w:r w:rsidRPr="00315BD8">
        <w:rPr>
          <w:b/>
          <w:bCs/>
        </w:rPr>
        <w:t xml:space="preserve">: TP loss performance is marginal between 1x2 and 2x2 array at the UE side. </w:t>
      </w:r>
    </w:p>
    <w:p w14:paraId="28F35B82" w14:textId="77777777" w:rsidR="00D850AE" w:rsidRDefault="00D850AE" w:rsidP="00D850AE">
      <w:pPr>
        <w:rPr>
          <w:b/>
          <w:bCs/>
        </w:rPr>
      </w:pPr>
      <w:r w:rsidRPr="00EC4484">
        <w:rPr>
          <w:b/>
          <w:bCs/>
          <w:u w:val="single"/>
        </w:rPr>
        <w:t>Observation 5</w:t>
      </w:r>
      <w:r w:rsidRPr="00EC4484">
        <w:rPr>
          <w:b/>
          <w:bCs/>
        </w:rPr>
        <w:t xml:space="preserve">: Large antenna arrays at the BS enables feasible adjacent channel coexistence via directing the wanted signal to the target destination and reducing the adjacent channel interference. </w:t>
      </w:r>
    </w:p>
    <w:p w14:paraId="1B0A5861" w14:textId="77777777" w:rsidR="00D850AE" w:rsidRDefault="00D850AE" w:rsidP="00D850AE">
      <w:pPr>
        <w:rPr>
          <w:b/>
          <w:bCs/>
        </w:rPr>
      </w:pPr>
      <w:r w:rsidRPr="00807EE8">
        <w:rPr>
          <w:b/>
          <w:bCs/>
          <w:u w:val="single"/>
        </w:rPr>
        <w:t>Observation 6</w:t>
      </w:r>
      <w:r w:rsidRPr="00807EE8">
        <w:rPr>
          <w:b/>
          <w:bCs/>
        </w:rPr>
        <w:t>: Due to the regulatory occupied bandwidth requirement, required UE ACLR is technically equal to 24 dBc.</w:t>
      </w:r>
    </w:p>
    <w:p w14:paraId="76ED4605" w14:textId="77777777" w:rsidR="00D850AE" w:rsidRPr="002B1B19" w:rsidRDefault="00D850AE" w:rsidP="00D850AE">
      <w:pPr>
        <w:rPr>
          <w:b/>
          <w:bCs/>
        </w:rPr>
      </w:pPr>
      <w:r w:rsidRPr="002B1B19">
        <w:rPr>
          <w:b/>
          <w:bCs/>
          <w:u w:val="single"/>
        </w:rPr>
        <w:t>Observation 7</w:t>
      </w:r>
      <w:r w:rsidRPr="002B1B19">
        <w:rPr>
          <w:b/>
          <w:bCs/>
        </w:rPr>
        <w:t xml:space="preserve">: Exploring higher power classes is feasible for this frequency range given the observed ACIR values.  </w:t>
      </w:r>
    </w:p>
    <w:p w14:paraId="07A42448" w14:textId="77777777" w:rsidR="00D850AE" w:rsidRDefault="00D850AE" w:rsidP="00D850AE">
      <w:pPr>
        <w:rPr>
          <w:b/>
          <w:bCs/>
        </w:rPr>
      </w:pPr>
      <w:r w:rsidRPr="00E455DD">
        <w:rPr>
          <w:b/>
          <w:bCs/>
          <w:u w:val="single"/>
        </w:rPr>
        <w:lastRenderedPageBreak/>
        <w:t>Observation 8:</w:t>
      </w:r>
      <w:r w:rsidRPr="00E455DD">
        <w:rPr>
          <w:b/>
          <w:bCs/>
        </w:rPr>
        <w:t xml:space="preserve"> ACIR values for are observed to be approximately 2 dB higher when considering UE maximum output power = 26 dBm compared to 23 dBm. </w:t>
      </w:r>
    </w:p>
    <w:p w14:paraId="2D567E44" w14:textId="0168115D" w:rsidR="006D6BC9" w:rsidRPr="00D850AE" w:rsidRDefault="00D850AE" w:rsidP="00D850AE">
      <w:pPr>
        <w:rPr>
          <w:b/>
          <w:bCs/>
        </w:rPr>
      </w:pPr>
      <w:r w:rsidRPr="00E455DD">
        <w:rPr>
          <w:b/>
          <w:bCs/>
          <w:u w:val="single"/>
        </w:rPr>
        <w:t xml:space="preserve">Proposal </w:t>
      </w:r>
      <w:r>
        <w:rPr>
          <w:b/>
          <w:bCs/>
          <w:u w:val="single"/>
        </w:rPr>
        <w:t>8</w:t>
      </w:r>
      <w:r>
        <w:rPr>
          <w:b/>
          <w:bCs/>
        </w:rPr>
        <w:t xml:space="preserve">: RAN4 to consider 26 dBm as the UE maximum output power in the 14800-15350 MHz frequency range adjacent coexistence study. </w:t>
      </w:r>
    </w:p>
    <w:p w14:paraId="17189E3E" w14:textId="77777777" w:rsidR="00993E9B" w:rsidRDefault="00993E9B" w:rsidP="00823087">
      <w:pPr>
        <w:pStyle w:val="Heading1"/>
        <w:ind w:left="0" w:firstLine="0"/>
        <w:jc w:val="both"/>
      </w:pPr>
      <w:r>
        <w:t>Reference</w:t>
      </w:r>
    </w:p>
    <w:p w14:paraId="267B5DEF" w14:textId="7F42606F" w:rsidR="00993E9B" w:rsidRDefault="00993E9B" w:rsidP="00823087">
      <w:pPr>
        <w:pStyle w:val="B1"/>
        <w:ind w:left="719" w:hanging="435"/>
        <w:jc w:val="both"/>
      </w:pPr>
      <w:r>
        <w:t>[1]</w:t>
      </w:r>
      <w:r>
        <w:tab/>
      </w:r>
      <w:r w:rsidR="000F58C5">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13CE0F0D" w14:textId="77777777" w:rsidR="00293F48" w:rsidRDefault="00293F48" w:rsidP="00293F48">
      <w:pPr>
        <w:pStyle w:val="B1"/>
        <w:ind w:left="426" w:hanging="142"/>
        <w:jc w:val="both"/>
      </w:pPr>
      <w:r>
        <w:t xml:space="preserve">[2] </w:t>
      </w:r>
      <w:r w:rsidRPr="00A57AD0">
        <w:t>R4-2410741</w:t>
      </w:r>
      <w:r>
        <w:t>, “</w:t>
      </w:r>
      <w:r w:rsidRPr="003E1424">
        <w:t>WF on IMT parameter study</w:t>
      </w:r>
      <w:r>
        <w:t xml:space="preserve">”, Ericsson, RAN4#111, Fukuoka, Japan. </w:t>
      </w:r>
    </w:p>
    <w:p w14:paraId="7F3D3D64" w14:textId="436415FD" w:rsidR="000F58C5" w:rsidRDefault="00562B1A" w:rsidP="00245845">
      <w:pPr>
        <w:pStyle w:val="B1"/>
        <w:ind w:left="719" w:hanging="435"/>
        <w:jc w:val="both"/>
      </w:pPr>
      <w:r>
        <w:t>[3]</w:t>
      </w:r>
      <w:r>
        <w:tab/>
        <w:t>TR 38.921, “</w:t>
      </w:r>
      <w:r w:rsidRPr="00D04D6E">
        <w:t>Study on International Mobile Telecommunications (IMT) parameters for 6.425 - 7.025 GHz, 7.025 - 7.125 GHz and 10.0 - 10.5 GHz</w:t>
      </w:r>
      <w:r>
        <w:t>”, 3GPP V17.1.0.</w:t>
      </w:r>
    </w:p>
    <w:p w14:paraId="2AAC5D96" w14:textId="77777777" w:rsidR="00993E9B" w:rsidRDefault="00993E9B" w:rsidP="00823087">
      <w:pPr>
        <w:pStyle w:val="B1"/>
        <w:jc w:val="both"/>
      </w:pPr>
    </w:p>
    <w:p w14:paraId="318EFFBC" w14:textId="77777777" w:rsidR="00993E9B" w:rsidRDefault="00993E9B" w:rsidP="00823087">
      <w:pPr>
        <w:pStyle w:val="B1"/>
        <w:ind w:left="0" w:firstLine="0"/>
        <w:jc w:val="both"/>
      </w:pPr>
    </w:p>
    <w:p w14:paraId="5467FF78" w14:textId="77777777" w:rsidR="00993E9B" w:rsidRDefault="00993E9B" w:rsidP="00823087">
      <w:pPr>
        <w:jc w:val="both"/>
      </w:pPr>
    </w:p>
    <w:sectPr w:rsidR="00993E9B"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BAEE3" w14:textId="77777777" w:rsidR="00DD024C" w:rsidRDefault="00DD024C" w:rsidP="0053201B">
      <w:pPr>
        <w:spacing w:after="0"/>
      </w:pPr>
      <w:r>
        <w:separator/>
      </w:r>
    </w:p>
  </w:endnote>
  <w:endnote w:type="continuationSeparator" w:id="0">
    <w:p w14:paraId="7DF615C8" w14:textId="77777777" w:rsidR="00DD024C" w:rsidRDefault="00DD024C" w:rsidP="0053201B">
      <w:pPr>
        <w:spacing w:after="0"/>
      </w:pPr>
      <w:r>
        <w:continuationSeparator/>
      </w:r>
    </w:p>
  </w:endnote>
  <w:endnote w:type="continuationNotice" w:id="1">
    <w:p w14:paraId="19DB5877" w14:textId="77777777" w:rsidR="00323A96" w:rsidRDefault="00323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3DC4F" w14:textId="77777777" w:rsidR="00DD024C" w:rsidRDefault="00DD024C" w:rsidP="0053201B">
      <w:pPr>
        <w:spacing w:after="0"/>
      </w:pPr>
      <w:r>
        <w:separator/>
      </w:r>
    </w:p>
  </w:footnote>
  <w:footnote w:type="continuationSeparator" w:id="0">
    <w:p w14:paraId="295881AE" w14:textId="77777777" w:rsidR="00DD024C" w:rsidRDefault="00DD024C" w:rsidP="0053201B">
      <w:pPr>
        <w:spacing w:after="0"/>
      </w:pPr>
      <w:r>
        <w:continuationSeparator/>
      </w:r>
    </w:p>
  </w:footnote>
  <w:footnote w:type="continuationNotice" w:id="1">
    <w:p w14:paraId="482D13A9" w14:textId="77777777" w:rsidR="00323A96" w:rsidRDefault="00323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BD492F"/>
    <w:multiLevelType w:val="hybridMultilevel"/>
    <w:tmpl w:val="83F8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6"/>
  </w:num>
  <w:num w:numId="2" w16cid:durableId="1621305404">
    <w:abstractNumId w:val="1"/>
  </w:num>
  <w:num w:numId="3" w16cid:durableId="225802869">
    <w:abstractNumId w:val="2"/>
  </w:num>
  <w:num w:numId="4" w16cid:durableId="276178333">
    <w:abstractNumId w:val="0"/>
  </w:num>
  <w:num w:numId="5" w16cid:durableId="1935287387">
    <w:abstractNumId w:val="5"/>
  </w:num>
  <w:num w:numId="6" w16cid:durableId="1874151125">
    <w:abstractNumId w:val="4"/>
  </w:num>
  <w:num w:numId="7" w16cid:durableId="578293186">
    <w:abstractNumId w:val="9"/>
  </w:num>
  <w:num w:numId="8" w16cid:durableId="2128427024">
    <w:abstractNumId w:val="10"/>
  </w:num>
  <w:num w:numId="9" w16cid:durableId="2081445157">
    <w:abstractNumId w:val="3"/>
  </w:num>
  <w:num w:numId="10" w16cid:durableId="1650285966">
    <w:abstractNumId w:val="8"/>
  </w:num>
  <w:num w:numId="11" w16cid:durableId="5090322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78FE"/>
    <w:rsid w:val="00010175"/>
    <w:rsid w:val="00010E35"/>
    <w:rsid w:val="00016F90"/>
    <w:rsid w:val="00017D94"/>
    <w:rsid w:val="000250BC"/>
    <w:rsid w:val="000334FD"/>
    <w:rsid w:val="00033A21"/>
    <w:rsid w:val="00034B4E"/>
    <w:rsid w:val="000443F3"/>
    <w:rsid w:val="00045BA0"/>
    <w:rsid w:val="00057089"/>
    <w:rsid w:val="00060D81"/>
    <w:rsid w:val="000644E6"/>
    <w:rsid w:val="0006516A"/>
    <w:rsid w:val="00065D07"/>
    <w:rsid w:val="000739B3"/>
    <w:rsid w:val="000748BF"/>
    <w:rsid w:val="00093094"/>
    <w:rsid w:val="000970DC"/>
    <w:rsid w:val="000A2E2B"/>
    <w:rsid w:val="000A56A5"/>
    <w:rsid w:val="000B3542"/>
    <w:rsid w:val="000B3A88"/>
    <w:rsid w:val="000B5295"/>
    <w:rsid w:val="000C05B1"/>
    <w:rsid w:val="000D163F"/>
    <w:rsid w:val="000D285C"/>
    <w:rsid w:val="000D352B"/>
    <w:rsid w:val="000D6147"/>
    <w:rsid w:val="000E2532"/>
    <w:rsid w:val="000E7DF4"/>
    <w:rsid w:val="000F013E"/>
    <w:rsid w:val="000F117D"/>
    <w:rsid w:val="000F5117"/>
    <w:rsid w:val="000F58C5"/>
    <w:rsid w:val="000F7FFE"/>
    <w:rsid w:val="0010170A"/>
    <w:rsid w:val="001163DF"/>
    <w:rsid w:val="00120B88"/>
    <w:rsid w:val="001319A1"/>
    <w:rsid w:val="00131C2A"/>
    <w:rsid w:val="001369FC"/>
    <w:rsid w:val="00140669"/>
    <w:rsid w:val="0014457D"/>
    <w:rsid w:val="0014783E"/>
    <w:rsid w:val="00161208"/>
    <w:rsid w:val="00166F01"/>
    <w:rsid w:val="001772ED"/>
    <w:rsid w:val="001803A2"/>
    <w:rsid w:val="0018394D"/>
    <w:rsid w:val="001A7539"/>
    <w:rsid w:val="001A7E15"/>
    <w:rsid w:val="001B15BE"/>
    <w:rsid w:val="001B269A"/>
    <w:rsid w:val="001B43FB"/>
    <w:rsid w:val="001B5B2C"/>
    <w:rsid w:val="001C1E73"/>
    <w:rsid w:val="001C6FDE"/>
    <w:rsid w:val="001D1E76"/>
    <w:rsid w:val="001D27C1"/>
    <w:rsid w:val="001D538E"/>
    <w:rsid w:val="001E310D"/>
    <w:rsid w:val="001E51AD"/>
    <w:rsid w:val="001F4658"/>
    <w:rsid w:val="002007C3"/>
    <w:rsid w:val="00200EEE"/>
    <w:rsid w:val="00207990"/>
    <w:rsid w:val="00211997"/>
    <w:rsid w:val="00216130"/>
    <w:rsid w:val="002220E3"/>
    <w:rsid w:val="00227F48"/>
    <w:rsid w:val="00243A28"/>
    <w:rsid w:val="00245845"/>
    <w:rsid w:val="0025545A"/>
    <w:rsid w:val="0026134C"/>
    <w:rsid w:val="002626C4"/>
    <w:rsid w:val="00262E0D"/>
    <w:rsid w:val="00276C66"/>
    <w:rsid w:val="00277353"/>
    <w:rsid w:val="00284321"/>
    <w:rsid w:val="00292411"/>
    <w:rsid w:val="002933E2"/>
    <w:rsid w:val="00293F48"/>
    <w:rsid w:val="00297A8F"/>
    <w:rsid w:val="002A0377"/>
    <w:rsid w:val="002A1AFD"/>
    <w:rsid w:val="002B1B19"/>
    <w:rsid w:val="002C228A"/>
    <w:rsid w:val="002D05B4"/>
    <w:rsid w:val="002D334C"/>
    <w:rsid w:val="002D37EF"/>
    <w:rsid w:val="002D7004"/>
    <w:rsid w:val="002E0D2A"/>
    <w:rsid w:val="002E34DE"/>
    <w:rsid w:val="002F1EB5"/>
    <w:rsid w:val="002F21B4"/>
    <w:rsid w:val="002F2AB9"/>
    <w:rsid w:val="002F5DAE"/>
    <w:rsid w:val="00303031"/>
    <w:rsid w:val="0030399D"/>
    <w:rsid w:val="00305B4F"/>
    <w:rsid w:val="0030605B"/>
    <w:rsid w:val="003133B0"/>
    <w:rsid w:val="00315BD8"/>
    <w:rsid w:val="00317293"/>
    <w:rsid w:val="0032021E"/>
    <w:rsid w:val="003205E3"/>
    <w:rsid w:val="00322279"/>
    <w:rsid w:val="00323A96"/>
    <w:rsid w:val="00337758"/>
    <w:rsid w:val="003465F6"/>
    <w:rsid w:val="00353594"/>
    <w:rsid w:val="00353CAE"/>
    <w:rsid w:val="00372F65"/>
    <w:rsid w:val="00373A94"/>
    <w:rsid w:val="0038129F"/>
    <w:rsid w:val="00381DB5"/>
    <w:rsid w:val="00382370"/>
    <w:rsid w:val="00382371"/>
    <w:rsid w:val="003851E0"/>
    <w:rsid w:val="0038656B"/>
    <w:rsid w:val="00391215"/>
    <w:rsid w:val="003936F9"/>
    <w:rsid w:val="00395352"/>
    <w:rsid w:val="0039563D"/>
    <w:rsid w:val="003A10AA"/>
    <w:rsid w:val="003A3D36"/>
    <w:rsid w:val="003B323A"/>
    <w:rsid w:val="003C0668"/>
    <w:rsid w:val="003D31A5"/>
    <w:rsid w:val="003D74A8"/>
    <w:rsid w:val="003F439E"/>
    <w:rsid w:val="003F73B2"/>
    <w:rsid w:val="00406761"/>
    <w:rsid w:val="004072E0"/>
    <w:rsid w:val="0041301A"/>
    <w:rsid w:val="00424A73"/>
    <w:rsid w:val="00424C73"/>
    <w:rsid w:val="0043357D"/>
    <w:rsid w:val="0043519E"/>
    <w:rsid w:val="00441FC9"/>
    <w:rsid w:val="00443278"/>
    <w:rsid w:val="00443AB1"/>
    <w:rsid w:val="00465A5D"/>
    <w:rsid w:val="00467828"/>
    <w:rsid w:val="00471D05"/>
    <w:rsid w:val="00471F05"/>
    <w:rsid w:val="00482050"/>
    <w:rsid w:val="004849E4"/>
    <w:rsid w:val="004867EE"/>
    <w:rsid w:val="00487D81"/>
    <w:rsid w:val="004A75F9"/>
    <w:rsid w:val="004B0598"/>
    <w:rsid w:val="004B3DF6"/>
    <w:rsid w:val="004B7A80"/>
    <w:rsid w:val="004D1525"/>
    <w:rsid w:val="004D7E41"/>
    <w:rsid w:val="005010C0"/>
    <w:rsid w:val="0051127D"/>
    <w:rsid w:val="00513341"/>
    <w:rsid w:val="0051387B"/>
    <w:rsid w:val="00515FB6"/>
    <w:rsid w:val="00531513"/>
    <w:rsid w:val="0053201B"/>
    <w:rsid w:val="00546B72"/>
    <w:rsid w:val="005572D8"/>
    <w:rsid w:val="00560B74"/>
    <w:rsid w:val="00562B1A"/>
    <w:rsid w:val="00563EE6"/>
    <w:rsid w:val="00573A77"/>
    <w:rsid w:val="005758E6"/>
    <w:rsid w:val="00582E47"/>
    <w:rsid w:val="00587897"/>
    <w:rsid w:val="0059132F"/>
    <w:rsid w:val="005952AA"/>
    <w:rsid w:val="005A036B"/>
    <w:rsid w:val="005A3804"/>
    <w:rsid w:val="005A643E"/>
    <w:rsid w:val="005A68EB"/>
    <w:rsid w:val="005A71D8"/>
    <w:rsid w:val="005B04DF"/>
    <w:rsid w:val="005B34C7"/>
    <w:rsid w:val="005B6ECB"/>
    <w:rsid w:val="005C7EBB"/>
    <w:rsid w:val="006115D1"/>
    <w:rsid w:val="0061354C"/>
    <w:rsid w:val="00623074"/>
    <w:rsid w:val="00641343"/>
    <w:rsid w:val="00647AA7"/>
    <w:rsid w:val="00650DBE"/>
    <w:rsid w:val="00655309"/>
    <w:rsid w:val="00661D49"/>
    <w:rsid w:val="0066665A"/>
    <w:rsid w:val="0067716E"/>
    <w:rsid w:val="006854BF"/>
    <w:rsid w:val="00692B4E"/>
    <w:rsid w:val="006955F4"/>
    <w:rsid w:val="00695FA2"/>
    <w:rsid w:val="006A1A1F"/>
    <w:rsid w:val="006A6E35"/>
    <w:rsid w:val="006A709E"/>
    <w:rsid w:val="006B506A"/>
    <w:rsid w:val="006C0379"/>
    <w:rsid w:val="006C2DEE"/>
    <w:rsid w:val="006D028C"/>
    <w:rsid w:val="006D24CF"/>
    <w:rsid w:val="006D6BC9"/>
    <w:rsid w:val="006D77D2"/>
    <w:rsid w:val="006E4C77"/>
    <w:rsid w:val="006F04C9"/>
    <w:rsid w:val="00711502"/>
    <w:rsid w:val="00715476"/>
    <w:rsid w:val="0071630B"/>
    <w:rsid w:val="00717FE4"/>
    <w:rsid w:val="00732C96"/>
    <w:rsid w:val="007333A6"/>
    <w:rsid w:val="00734E38"/>
    <w:rsid w:val="00737DCA"/>
    <w:rsid w:val="00741F1C"/>
    <w:rsid w:val="007439AB"/>
    <w:rsid w:val="007449DE"/>
    <w:rsid w:val="00746F1D"/>
    <w:rsid w:val="007475CD"/>
    <w:rsid w:val="00761EC4"/>
    <w:rsid w:val="00765938"/>
    <w:rsid w:val="0076678B"/>
    <w:rsid w:val="007855B3"/>
    <w:rsid w:val="00791889"/>
    <w:rsid w:val="0079517F"/>
    <w:rsid w:val="007A0A6D"/>
    <w:rsid w:val="007B11C2"/>
    <w:rsid w:val="007B7220"/>
    <w:rsid w:val="007C51C5"/>
    <w:rsid w:val="007C67C0"/>
    <w:rsid w:val="007D0076"/>
    <w:rsid w:val="007D0B3F"/>
    <w:rsid w:val="007D0FF3"/>
    <w:rsid w:val="007D134E"/>
    <w:rsid w:val="007D3037"/>
    <w:rsid w:val="007D5C71"/>
    <w:rsid w:val="007D7357"/>
    <w:rsid w:val="007E5653"/>
    <w:rsid w:val="007E5730"/>
    <w:rsid w:val="007E68D5"/>
    <w:rsid w:val="007E6BBF"/>
    <w:rsid w:val="007E7112"/>
    <w:rsid w:val="007F2595"/>
    <w:rsid w:val="007F342F"/>
    <w:rsid w:val="007F372E"/>
    <w:rsid w:val="00800C1B"/>
    <w:rsid w:val="00807EE8"/>
    <w:rsid w:val="008134E2"/>
    <w:rsid w:val="00813CE6"/>
    <w:rsid w:val="00823087"/>
    <w:rsid w:val="0082764C"/>
    <w:rsid w:val="008304B5"/>
    <w:rsid w:val="008314CA"/>
    <w:rsid w:val="00834CAB"/>
    <w:rsid w:val="00835808"/>
    <w:rsid w:val="00845BA2"/>
    <w:rsid w:val="00847821"/>
    <w:rsid w:val="0085151E"/>
    <w:rsid w:val="00851D28"/>
    <w:rsid w:val="00853E26"/>
    <w:rsid w:val="00860E1B"/>
    <w:rsid w:val="0086319B"/>
    <w:rsid w:val="0087034A"/>
    <w:rsid w:val="008738C2"/>
    <w:rsid w:val="00873D5B"/>
    <w:rsid w:val="00884DBF"/>
    <w:rsid w:val="008A151F"/>
    <w:rsid w:val="008A6B03"/>
    <w:rsid w:val="008A77DF"/>
    <w:rsid w:val="008B0E6C"/>
    <w:rsid w:val="008B1506"/>
    <w:rsid w:val="008B70F8"/>
    <w:rsid w:val="008C46B7"/>
    <w:rsid w:val="008D2A99"/>
    <w:rsid w:val="008D385B"/>
    <w:rsid w:val="008D4695"/>
    <w:rsid w:val="008D51D4"/>
    <w:rsid w:val="008E59DF"/>
    <w:rsid w:val="009006F1"/>
    <w:rsid w:val="00903D0F"/>
    <w:rsid w:val="00911599"/>
    <w:rsid w:val="00914E18"/>
    <w:rsid w:val="00915421"/>
    <w:rsid w:val="0091658C"/>
    <w:rsid w:val="00920B8C"/>
    <w:rsid w:val="009216F9"/>
    <w:rsid w:val="0092684B"/>
    <w:rsid w:val="00927967"/>
    <w:rsid w:val="009311F3"/>
    <w:rsid w:val="00937778"/>
    <w:rsid w:val="00937DBF"/>
    <w:rsid w:val="009467C5"/>
    <w:rsid w:val="00947EAE"/>
    <w:rsid w:val="00955EC8"/>
    <w:rsid w:val="009570AD"/>
    <w:rsid w:val="0095735B"/>
    <w:rsid w:val="00972376"/>
    <w:rsid w:val="009771A4"/>
    <w:rsid w:val="009820D3"/>
    <w:rsid w:val="00990CAD"/>
    <w:rsid w:val="00991A72"/>
    <w:rsid w:val="00993E9B"/>
    <w:rsid w:val="009969E1"/>
    <w:rsid w:val="009A5414"/>
    <w:rsid w:val="009C5EBE"/>
    <w:rsid w:val="009C729C"/>
    <w:rsid w:val="009E5EBF"/>
    <w:rsid w:val="009E628C"/>
    <w:rsid w:val="009E658C"/>
    <w:rsid w:val="00A02EF6"/>
    <w:rsid w:val="00A03963"/>
    <w:rsid w:val="00A03C6D"/>
    <w:rsid w:val="00A21DD9"/>
    <w:rsid w:val="00A23173"/>
    <w:rsid w:val="00A2439E"/>
    <w:rsid w:val="00A26E72"/>
    <w:rsid w:val="00A3193E"/>
    <w:rsid w:val="00A40271"/>
    <w:rsid w:val="00A416EE"/>
    <w:rsid w:val="00A43466"/>
    <w:rsid w:val="00A504B0"/>
    <w:rsid w:val="00A50B3C"/>
    <w:rsid w:val="00A550C1"/>
    <w:rsid w:val="00A6765A"/>
    <w:rsid w:val="00A727B4"/>
    <w:rsid w:val="00A758B7"/>
    <w:rsid w:val="00A83755"/>
    <w:rsid w:val="00A84DDA"/>
    <w:rsid w:val="00A85FE3"/>
    <w:rsid w:val="00AB1AA7"/>
    <w:rsid w:val="00AC04C4"/>
    <w:rsid w:val="00AC3B9F"/>
    <w:rsid w:val="00AC7669"/>
    <w:rsid w:val="00AD47F0"/>
    <w:rsid w:val="00AD616E"/>
    <w:rsid w:val="00AD7C44"/>
    <w:rsid w:val="00AE26E5"/>
    <w:rsid w:val="00AE510F"/>
    <w:rsid w:val="00AE6FC0"/>
    <w:rsid w:val="00AF1412"/>
    <w:rsid w:val="00B0492E"/>
    <w:rsid w:val="00B11736"/>
    <w:rsid w:val="00B23D5E"/>
    <w:rsid w:val="00B24289"/>
    <w:rsid w:val="00B25ED1"/>
    <w:rsid w:val="00B26FC9"/>
    <w:rsid w:val="00B27918"/>
    <w:rsid w:val="00B42962"/>
    <w:rsid w:val="00B432C1"/>
    <w:rsid w:val="00B46944"/>
    <w:rsid w:val="00B5299E"/>
    <w:rsid w:val="00B52D45"/>
    <w:rsid w:val="00B55265"/>
    <w:rsid w:val="00B575DE"/>
    <w:rsid w:val="00B57C2C"/>
    <w:rsid w:val="00B75FB9"/>
    <w:rsid w:val="00B76F27"/>
    <w:rsid w:val="00B81F1B"/>
    <w:rsid w:val="00B92A0F"/>
    <w:rsid w:val="00BA366E"/>
    <w:rsid w:val="00BA397F"/>
    <w:rsid w:val="00BB0108"/>
    <w:rsid w:val="00BB1073"/>
    <w:rsid w:val="00BB5183"/>
    <w:rsid w:val="00BB6985"/>
    <w:rsid w:val="00BD22DF"/>
    <w:rsid w:val="00BE07F8"/>
    <w:rsid w:val="00BE6359"/>
    <w:rsid w:val="00BF4D7D"/>
    <w:rsid w:val="00C04947"/>
    <w:rsid w:val="00C11F67"/>
    <w:rsid w:val="00C12964"/>
    <w:rsid w:val="00C16CAD"/>
    <w:rsid w:val="00C23834"/>
    <w:rsid w:val="00C30441"/>
    <w:rsid w:val="00C36C62"/>
    <w:rsid w:val="00C447A0"/>
    <w:rsid w:val="00C478AC"/>
    <w:rsid w:val="00C502CB"/>
    <w:rsid w:val="00C53F8D"/>
    <w:rsid w:val="00C614EB"/>
    <w:rsid w:val="00C61777"/>
    <w:rsid w:val="00C70B0D"/>
    <w:rsid w:val="00C729DC"/>
    <w:rsid w:val="00C73DAF"/>
    <w:rsid w:val="00C7440E"/>
    <w:rsid w:val="00C778EA"/>
    <w:rsid w:val="00C93632"/>
    <w:rsid w:val="00C97564"/>
    <w:rsid w:val="00CA3370"/>
    <w:rsid w:val="00CB27F4"/>
    <w:rsid w:val="00CB3BFD"/>
    <w:rsid w:val="00CD4E71"/>
    <w:rsid w:val="00CE53D8"/>
    <w:rsid w:val="00CE63B2"/>
    <w:rsid w:val="00CE6EE0"/>
    <w:rsid w:val="00CE7EAC"/>
    <w:rsid w:val="00CF1C8B"/>
    <w:rsid w:val="00CF77B6"/>
    <w:rsid w:val="00D07C30"/>
    <w:rsid w:val="00D11DBA"/>
    <w:rsid w:val="00D342AE"/>
    <w:rsid w:val="00D34805"/>
    <w:rsid w:val="00D41446"/>
    <w:rsid w:val="00D4248B"/>
    <w:rsid w:val="00D50C3B"/>
    <w:rsid w:val="00D54E35"/>
    <w:rsid w:val="00D61AB0"/>
    <w:rsid w:val="00D61CC4"/>
    <w:rsid w:val="00D72686"/>
    <w:rsid w:val="00D76887"/>
    <w:rsid w:val="00D80C6C"/>
    <w:rsid w:val="00D82BB3"/>
    <w:rsid w:val="00D850AE"/>
    <w:rsid w:val="00DA0296"/>
    <w:rsid w:val="00DA0865"/>
    <w:rsid w:val="00DA6E92"/>
    <w:rsid w:val="00DB2979"/>
    <w:rsid w:val="00DD024C"/>
    <w:rsid w:val="00DD0F13"/>
    <w:rsid w:val="00DD51B9"/>
    <w:rsid w:val="00DE4456"/>
    <w:rsid w:val="00DE50F5"/>
    <w:rsid w:val="00DE56E7"/>
    <w:rsid w:val="00DE69CF"/>
    <w:rsid w:val="00E02357"/>
    <w:rsid w:val="00E02FD4"/>
    <w:rsid w:val="00E25EDB"/>
    <w:rsid w:val="00E26BAC"/>
    <w:rsid w:val="00E31C49"/>
    <w:rsid w:val="00E33389"/>
    <w:rsid w:val="00E33B2F"/>
    <w:rsid w:val="00E40806"/>
    <w:rsid w:val="00E455DD"/>
    <w:rsid w:val="00E55098"/>
    <w:rsid w:val="00E60D19"/>
    <w:rsid w:val="00E625BD"/>
    <w:rsid w:val="00E94167"/>
    <w:rsid w:val="00E96224"/>
    <w:rsid w:val="00EA26E5"/>
    <w:rsid w:val="00EB262E"/>
    <w:rsid w:val="00EB6F77"/>
    <w:rsid w:val="00EC2208"/>
    <w:rsid w:val="00EC2BE8"/>
    <w:rsid w:val="00EC4484"/>
    <w:rsid w:val="00EC59A5"/>
    <w:rsid w:val="00EC7443"/>
    <w:rsid w:val="00ED0FE5"/>
    <w:rsid w:val="00ED453D"/>
    <w:rsid w:val="00EE1C2D"/>
    <w:rsid w:val="00EF175B"/>
    <w:rsid w:val="00EF5544"/>
    <w:rsid w:val="00F01C01"/>
    <w:rsid w:val="00F05646"/>
    <w:rsid w:val="00F06B38"/>
    <w:rsid w:val="00F074FB"/>
    <w:rsid w:val="00F076B6"/>
    <w:rsid w:val="00F14541"/>
    <w:rsid w:val="00F17B30"/>
    <w:rsid w:val="00F3200C"/>
    <w:rsid w:val="00F36698"/>
    <w:rsid w:val="00F36C04"/>
    <w:rsid w:val="00F41867"/>
    <w:rsid w:val="00F42BD3"/>
    <w:rsid w:val="00F50B6E"/>
    <w:rsid w:val="00F51057"/>
    <w:rsid w:val="00F546F1"/>
    <w:rsid w:val="00F57B90"/>
    <w:rsid w:val="00F64D57"/>
    <w:rsid w:val="00F704A6"/>
    <w:rsid w:val="00F86F2A"/>
    <w:rsid w:val="00FB1152"/>
    <w:rsid w:val="00FB3DC2"/>
    <w:rsid w:val="00FB6946"/>
    <w:rsid w:val="00FC639D"/>
    <w:rsid w:val="00FD1F80"/>
    <w:rsid w:val="00FF0C68"/>
    <w:rsid w:val="00FF18A1"/>
    <w:rsid w:val="00FF2707"/>
    <w:rsid w:val="00FF6EC9"/>
    <w:rsid w:val="0F4A4BAB"/>
    <w:rsid w:val="129082A5"/>
    <w:rsid w:val="1813EEBC"/>
    <w:rsid w:val="5D14E869"/>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FED54922-424A-4399-AFA2-07C8FC7B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table" w:styleId="TableGridLight">
    <w:name w:val="Grid Table Light"/>
    <w:basedOn w:val="TableNormal"/>
    <w:uiPriority w:val="40"/>
    <w:rsid w:val="005B34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B34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737744925">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79BDB-CB05-436A-A150-64C5E1D1239F}">
  <ds:schemaRefs>
    <ds:schemaRef ds:uri="http://schemas.microsoft.com/office/infopath/2007/PartnerControls"/>
    <ds:schemaRef ds:uri="http://purl.org/dc/dcmitype/"/>
    <ds:schemaRef ds:uri="http://purl.org/dc/terms/"/>
    <ds:schemaRef ds:uri="http://schemas.microsoft.com/office/2006/metadata/properties"/>
    <ds:schemaRef ds:uri="a7036771-d2e9-4e8a-9ef7-3a342200a421"/>
    <ds:schemaRef ds:uri="http://www.w3.org/XML/1998/namespace"/>
    <ds:schemaRef ds:uri="http://schemas.microsoft.com/office/2006/documentManagement/types"/>
    <ds:schemaRef ds:uri="http://schemas.openxmlformats.org/package/2006/metadata/core-properties"/>
    <ds:schemaRef ds:uri="e51413fb-b6f8-4f29-abc2-eb20455e809e"/>
    <ds:schemaRef ds:uri="http://purl.org/dc/elements/1.1/"/>
  </ds:schemaRefs>
</ds:datastoreItem>
</file>

<file path=customXml/itemProps2.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BF4FB-E797-4344-8640-EE92B4673A2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347</TotalTime>
  <Pages>8</Pages>
  <Words>2643</Words>
  <Characters>15071</Characters>
  <Application>Microsoft Office Word</Application>
  <DocSecurity>0</DocSecurity>
  <Lines>125</Lines>
  <Paragraphs>35</Paragraphs>
  <ScaleCrop>false</ScaleCrop>
  <Company>Qualcomm Incorporated</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455</cp:revision>
  <dcterms:created xsi:type="dcterms:W3CDTF">2024-03-28T10:16:00Z</dcterms:created>
  <dcterms:modified xsi:type="dcterms:W3CDTF">2024-08-09T13:12:00Z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